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162F327B" w:rsidR="00CA2B94" w:rsidRDefault="00B02370">
      <w:pPr>
        <w:spacing w:before="78"/>
        <w:ind w:left="120"/>
        <w:rPr>
          <w:b/>
          <w:sz w:val="32"/>
        </w:rPr>
      </w:pPr>
      <w:r>
        <w:rPr>
          <w:noProof/>
        </w:rPr>
        <mc:AlternateContent>
          <mc:Choice Requires="wps">
            <w:drawing>
              <wp:anchor distT="0" distB="0" distL="114300" distR="114300" simplePos="0" relativeHeight="251662336"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r w:rsidR="00794B7F">
                        <w:fldChar w:fldCharType="begin"/>
                      </w:r>
                      <w:r w:rsidR="00794B7F">
                        <w:instrText xml:space="preserve"> SEQ Figure \* ARABIC </w:instrText>
                      </w:r>
                      <w:r w:rsidR="00794B7F">
                        <w:fldChar w:fldCharType="separate"/>
                      </w:r>
                      <w:r>
                        <w:rPr>
                          <w:noProof/>
                        </w:rPr>
                        <w:t>1</w:t>
                      </w:r>
                      <w:r w:rsidR="00794B7F">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6192"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B40AB3">
        <w:rPr>
          <w:b/>
          <w:sz w:val="32"/>
        </w:rPr>
        <w:t>Contingency Planning</w:t>
      </w:r>
      <w:r w:rsidR="008F3B83">
        <w:rPr>
          <w:b/>
          <w:sz w:val="32"/>
        </w:rPr>
        <w:t xml:space="preserve"> </w:t>
      </w:r>
      <w:r w:rsidR="00CA3E1A">
        <w:rPr>
          <w:b/>
          <w:sz w:val="32"/>
        </w:rPr>
        <w:t>(</w:t>
      </w:r>
      <w:r w:rsidR="007F34FC">
        <w:rPr>
          <w:b/>
          <w:sz w:val="32"/>
        </w:rPr>
        <w:t>C</w:t>
      </w:r>
      <w:r w:rsidR="00B40AB3">
        <w:rPr>
          <w:b/>
          <w:sz w:val="32"/>
        </w:rPr>
        <w:t>P</w:t>
      </w:r>
      <w:r w:rsidR="00CA3E1A">
        <w:rPr>
          <w:b/>
          <w:sz w:val="32"/>
        </w:rPr>
        <w:t xml:space="preserve">) </w:t>
      </w:r>
      <w:r w:rsidR="008F3B83">
        <w:rPr>
          <w:b/>
          <w:sz w:val="32"/>
        </w:rPr>
        <w:t>Standard</w:t>
      </w:r>
    </w:p>
    <w:p w14:paraId="6FBF8307" w14:textId="46D8EE54" w:rsidR="00CA2B94" w:rsidRDefault="008F3B83" w:rsidP="00BD4AE6">
      <w:pPr>
        <w:pStyle w:val="Heading1"/>
        <w:spacing w:before="18"/>
        <w:rPr>
          <w:sz w:val="27"/>
        </w:rPr>
      </w:pPr>
      <w:r>
        <w:t>IT-12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6FF06041">
                <wp:extent cx="5768340" cy="2505075"/>
                <wp:effectExtent l="0" t="0" r="381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50507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0C485592" w:rsidR="00BD7C5F" w:rsidRPr="002D6C1A" w:rsidRDefault="00222198" w:rsidP="00BD7C5F">
                            <w:pPr>
                              <w:pStyle w:val="BodyText"/>
                              <w:spacing w:before="11"/>
                              <w:ind w:left="160"/>
                              <w:rPr>
                                <w:i/>
                              </w:rPr>
                            </w:pPr>
                            <w:r>
                              <w:rPr>
                                <w:i/>
                              </w:rPr>
                              <w:t>4</w:t>
                            </w:r>
                            <w:r w:rsidR="00BD7C5F">
                              <w:rPr>
                                <w:i/>
                              </w:rPr>
                              <w:t>/</w:t>
                            </w:r>
                            <w:r>
                              <w:rPr>
                                <w:i/>
                              </w:rPr>
                              <w:t>7</w:t>
                            </w:r>
                            <w:r w:rsidR="00BD7C5F">
                              <w:rPr>
                                <w:i/>
                              </w:rPr>
                              <w:t>/2</w:t>
                            </w:r>
                            <w:r>
                              <w:rPr>
                                <w:i/>
                              </w:rPr>
                              <w:t>3 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FADB5E9" w:rsidR="00CA2B94" w:rsidRPr="002D6C1A" w:rsidRDefault="008F3B83" w:rsidP="0098560D">
                            <w:pPr>
                              <w:ind w:firstLine="160"/>
                              <w:rPr>
                                <w:b/>
                              </w:rPr>
                            </w:pPr>
                            <w:r>
                              <w:rPr>
                                <w:rStyle w:val="Strong"/>
                                <w:b w:val="0"/>
                                <w:i/>
                                <w:iCs/>
                              </w:rPr>
                              <w:t>University Information Security Office</w:t>
                            </w:r>
                            <w:r w:rsidR="0098560D">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Text Box 5" style="width:454.2pt;height:197.25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" w14:anchorId="25925D36">
                <v:textbox inset="0,0,0,0">
                  <w:txbxContent>
                    <w:p w:rsidR="00CA2B94" w:rsidRDefault="00487F37" w14:paraId="38306F72" w14:textId="210E6B67">
                      <w:pPr>
                        <w:spacing w:before="97"/>
                        <w:ind w:left="160"/>
                        <w:rPr>
                          <w:b/>
                          <w:sz w:val="28"/>
                        </w:rPr>
                      </w:pPr>
                      <w:r>
                        <w:rPr>
                          <w:b/>
                          <w:sz w:val="28"/>
                        </w:rPr>
                        <w:t xml:space="preserve">About This </w:t>
                      </w:r>
                      <w:r w:rsidR="008F3B83">
                        <w:rPr>
                          <w:b/>
                          <w:sz w:val="28"/>
                        </w:rPr>
                        <w:t>Standard</w:t>
                      </w:r>
                    </w:p>
                    <w:p w:rsidR="00CA2B94" w:rsidRDefault="00487F37" w14:paraId="35302E79" w14:textId="2B142F57">
                      <w:pPr>
                        <w:spacing w:before="259"/>
                        <w:ind w:left="160"/>
                        <w:rPr>
                          <w:b/>
                        </w:rPr>
                      </w:pPr>
                      <w:r>
                        <w:rPr>
                          <w:b/>
                        </w:rPr>
                        <w:t>Effective Date:</w:t>
                      </w:r>
                    </w:p>
                    <w:p w:rsidRPr="002D6C1A" w:rsidR="00CA2B94" w:rsidRDefault="00BD7C5F" w14:paraId="1473AB6E" w14:textId="76A56E95">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BD7C5F" w:rsidP="00BD7C5F" w:rsidRDefault="00222198" w14:paraId="425790DE" w14:textId="0C485592">
                      <w:pPr>
                        <w:pStyle w:val="BodyText"/>
                        <w:spacing w:before="11"/>
                        <w:ind w:left="160"/>
                        <w:rPr>
                          <w:i/>
                        </w:rPr>
                      </w:pPr>
                      <w:r>
                        <w:rPr>
                          <w:i/>
                        </w:rPr>
                        <w:t>4</w:t>
                      </w:r>
                      <w:r w:rsidR="00BD7C5F">
                        <w:rPr>
                          <w:i/>
                        </w:rPr>
                        <w:t>/</w:t>
                      </w:r>
                      <w:r>
                        <w:rPr>
                          <w:i/>
                        </w:rPr>
                        <w:t>7</w:t>
                      </w:r>
                      <w:r w:rsidR="00BD7C5F">
                        <w:rPr>
                          <w:i/>
                        </w:rPr>
                        <w:t>/2</w:t>
                      </w:r>
                      <w:r>
                        <w:rPr>
                          <w:i/>
                        </w:rPr>
                        <w:t>3 revision</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77777777">
                      <w:pPr>
                        <w:spacing w:before="131"/>
                        <w:ind w:left="160"/>
                        <w:rPr>
                          <w:b/>
                        </w:rPr>
                      </w:pPr>
                      <w:r>
                        <w:rPr>
                          <w:b/>
                        </w:rPr>
                        <w:t>Policy Contact:</w:t>
                      </w:r>
                    </w:p>
                    <w:p w:rsidRPr="002D6C1A" w:rsidR="00CA2B94" w:rsidP="0098560D" w:rsidRDefault="008F3B83" w14:paraId="6042B114" w14:textId="7FADB5E9">
                      <w:pPr>
                        <w:ind w:firstLine="160"/>
                        <w:rPr>
                          <w:b/>
                        </w:rPr>
                      </w:pPr>
                      <w:r>
                        <w:rPr>
                          <w:rStyle w:val="Strong"/>
                          <w:b w:val="0"/>
                          <w:i/>
                          <w:iCs/>
                        </w:rPr>
                        <w:t>University Information Security Office</w:t>
                      </w:r>
                      <w:r w:rsidR="0098560D">
                        <w:rPr>
                          <w:rStyle w:val="Strong"/>
                          <w:b w:val="0"/>
                          <w:i/>
                          <w:iCs/>
                        </w:rPr>
                        <w:t xml:space="preserve"> - </w:t>
                      </w:r>
                      <w:hyperlink w:history="1" r:id="rId13">
                        <w:r w:rsidRPr="00A06632">
                          <w:rPr>
                            <w:rStyle w:val="Hyperlink"/>
                            <w:i/>
                            <w:iCs/>
                          </w:rPr>
                          <w:t>uiso@iu.edu</w:t>
                        </w:r>
                      </w:hyperlink>
                      <w:r>
                        <w:rPr>
                          <w:rStyle w:val="Strong"/>
                          <w:b w:val="0"/>
                          <w:i/>
                          <w:iCs/>
                        </w:rPr>
                        <w:t xml:space="preserve"> </w:t>
                      </w:r>
                    </w:p>
                  </w:txbxContent>
                </v:textbox>
                <w10:anchorlock/>
              </v:shape>
            </w:pict>
          </mc:Fallback>
        </mc:AlternateContent>
      </w:r>
    </w:p>
    <w:p w14:paraId="06F19FCD" w14:textId="32128E41" w:rsidR="0082630C" w:rsidRDefault="00ED0C65" w:rsidP="001F4405">
      <w:pPr>
        <w:pStyle w:val="Heading2"/>
        <w:spacing w:before="163" w:after="120"/>
        <w:ind w:left="115"/>
        <w:rPr>
          <w:rStyle w:val="hotkey-layer"/>
        </w:rPr>
      </w:pPr>
      <w:r>
        <w:t>Scope</w:t>
      </w:r>
    </w:p>
    <w:p w14:paraId="3899B4FA" w14:textId="2061C583" w:rsidR="008B4995" w:rsidRDefault="008F3B83" w:rsidP="001F4405">
      <w:pPr>
        <w:spacing w:after="120"/>
        <w:ind w:left="115"/>
      </w:pPr>
      <w:r w:rsidRPr="008F3B83">
        <w:rPr>
          <w:rStyle w:val="hotkey-layer"/>
        </w:rPr>
        <w:t xml:space="preserve">This standard supports </w:t>
      </w:r>
      <w:hyperlink r:id="rId14" w:history="1">
        <w:r w:rsidRPr="004B79FA">
          <w:rPr>
            <w:rStyle w:val="Hyperlink"/>
          </w:rPr>
          <w:t xml:space="preserve">Policy IT-12 </w:t>
        </w:r>
        <w:r w:rsidR="00E71CB4" w:rsidRPr="004B79FA">
          <w:rPr>
            <w:rStyle w:val="Hyperlink"/>
          </w:rPr>
          <w:t xml:space="preserve">(Security of Information </w:t>
        </w:r>
        <w:r w:rsidR="00A208C6" w:rsidRPr="004B79FA">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ACDDB17" w14:textId="40452B29" w:rsidR="0082630C" w:rsidRDefault="008F3B83" w:rsidP="001F4405">
      <w:pPr>
        <w:pStyle w:val="Heading2"/>
        <w:spacing w:before="163" w:after="120"/>
        <w:ind w:left="115"/>
      </w:pPr>
      <w:r>
        <w:t>Objectives</w:t>
      </w:r>
    </w:p>
    <w:p w14:paraId="359D0E82" w14:textId="5D5B92E2" w:rsidR="0B6289CF" w:rsidRDefault="00E87380" w:rsidP="001F4405">
      <w:pPr>
        <w:spacing w:after="120"/>
        <w:ind w:left="115"/>
      </w:pPr>
      <w:r>
        <w:t xml:space="preserve">The key objective of this </w:t>
      </w:r>
      <w:r w:rsidR="006616CF">
        <w:t>s</w:t>
      </w:r>
      <w:r>
        <w:t xml:space="preserve">tandard </w:t>
      </w:r>
      <w:r w:rsidR="003B4428">
        <w:t>is to ensure that plans for emergency response, backup operations, and post-disaster recovery for organizational information systems are established, maintained, and effectively implemented to ensure the availability of information technology resources and continuity of operations.</w:t>
      </w:r>
    </w:p>
    <w:p w14:paraId="4ED01836" w14:textId="566B7648" w:rsidR="008B4995" w:rsidRDefault="008F3B83" w:rsidP="001F4405">
      <w:pPr>
        <w:pStyle w:val="Heading2"/>
        <w:spacing w:before="163" w:after="120"/>
        <w:ind w:left="115"/>
      </w:pPr>
      <w:r>
        <w:t>Standard</w:t>
      </w:r>
    </w:p>
    <w:p w14:paraId="11FD07ED" w14:textId="7207ABBC" w:rsidR="469E3DEC" w:rsidRDefault="00E13035" w:rsidP="001F4405">
      <w:pPr>
        <w:spacing w:after="120"/>
        <w:ind w:left="115"/>
        <w:outlineLvl w:val="2"/>
      </w:pPr>
      <w:r>
        <w:t xml:space="preserve">The following tables detail baseline security controls for contingency planning that are to be applied to a particular information technology resource based on its </w:t>
      </w:r>
      <w:hyperlink r:id="rId15">
        <w:r w:rsidRPr="0B6289CF">
          <w:rPr>
            <w:rStyle w:val="Hyperlink"/>
          </w:rPr>
          <w:t>security categorization</w:t>
        </w:r>
      </w:hyperlink>
      <w:r>
        <w:t xml:space="preserve">. </w:t>
      </w:r>
      <w:r w:rsidR="006C2A9B">
        <w:t>Select controls</w:t>
      </w:r>
      <w:r w:rsidR="006C2A9B" w:rsidRPr="00D25182">
        <w:t xml:space="preserve"> as applicable</w:t>
      </w:r>
      <w:r>
        <w:t xml:space="preserve">. For example, all controls may not apply to every system component or technology, or </w:t>
      </w:r>
      <w:r w:rsidR="009D445C">
        <w:t xml:space="preserve">to </w:t>
      </w:r>
      <w:r>
        <w:t>situations governed by specific regulations.</w:t>
      </w:r>
    </w:p>
    <w:p w14:paraId="5C18C2AE" w14:textId="77777777" w:rsidR="004B79FA" w:rsidRPr="001F4405" w:rsidRDefault="004B79FA" w:rsidP="001F4405">
      <w:pPr>
        <w:spacing w:after="120"/>
        <w:ind w:left="115"/>
        <w:outlineLvl w:val="2"/>
        <w:rPr>
          <w:b/>
          <w:bCs/>
        </w:rPr>
      </w:pPr>
    </w:p>
    <w:tbl>
      <w:tblPr>
        <w:tblStyle w:val="TableGrid"/>
        <w:tblW w:w="9352" w:type="dxa"/>
        <w:tblCellMar>
          <w:left w:w="0" w:type="dxa"/>
          <w:right w:w="0" w:type="dxa"/>
        </w:tblCellMar>
        <w:tblLook w:val="04A0" w:firstRow="1" w:lastRow="0" w:firstColumn="1" w:lastColumn="0" w:noHBand="0" w:noVBand="1"/>
      </w:tblPr>
      <w:tblGrid>
        <w:gridCol w:w="3135"/>
        <w:gridCol w:w="2055"/>
        <w:gridCol w:w="2100"/>
        <w:gridCol w:w="2062"/>
      </w:tblGrid>
      <w:tr w:rsidR="00B0710F" w:rsidRPr="005031EF" w14:paraId="674E0AB4" w14:textId="77777777" w:rsidTr="3D22ACCD">
        <w:trPr>
          <w:trHeight w:val="300"/>
        </w:trPr>
        <w:tc>
          <w:tcPr>
            <w:tcW w:w="3135" w:type="dxa"/>
            <w:shd w:val="clear" w:color="auto" w:fill="D9D9D9" w:themeFill="background1" w:themeFillShade="D9"/>
            <w:hideMark/>
          </w:tcPr>
          <w:p w14:paraId="3FE4D187" w14:textId="1D0E416B" w:rsidR="00B0710F" w:rsidRPr="005031EF" w:rsidRDefault="004E0508" w:rsidP="00D92BAF">
            <w:pPr>
              <w:textAlignment w:val="baseline"/>
              <w:rPr>
                <w:rFonts w:eastAsia="Times New Roman"/>
              </w:rPr>
            </w:pPr>
            <w:r>
              <w:rPr>
                <w:rFonts w:eastAsia="Times New Roman"/>
                <w:b/>
                <w:bCs/>
              </w:rPr>
              <w:t>Control:</w:t>
            </w:r>
          </w:p>
        </w:tc>
        <w:tc>
          <w:tcPr>
            <w:tcW w:w="6217" w:type="dxa"/>
            <w:gridSpan w:val="3"/>
            <w:hideMark/>
          </w:tcPr>
          <w:p w14:paraId="48470315" w14:textId="2739C99F" w:rsidR="00B0710F" w:rsidRPr="005031EF" w:rsidRDefault="00D92BAF" w:rsidP="00D92BAF">
            <w:pPr>
              <w:textAlignment w:val="baseline"/>
              <w:rPr>
                <w:rFonts w:eastAsia="Times New Roman"/>
              </w:rPr>
            </w:pPr>
            <w:r w:rsidRPr="00D92BAF">
              <w:rPr>
                <w:rFonts w:eastAsia="Times New Roman"/>
                <w:b/>
                <w:bCs/>
                <w:color w:val="000000"/>
              </w:rPr>
              <w:t>Contingency Plan</w:t>
            </w:r>
          </w:p>
        </w:tc>
      </w:tr>
      <w:tr w:rsidR="00B0710F" w:rsidRPr="005031EF" w14:paraId="2FFFD9F0" w14:textId="77777777" w:rsidTr="3D22ACCD">
        <w:trPr>
          <w:trHeight w:val="300"/>
        </w:trPr>
        <w:tc>
          <w:tcPr>
            <w:tcW w:w="0" w:type="auto"/>
            <w:shd w:val="clear" w:color="auto" w:fill="D9D9D9" w:themeFill="background1" w:themeFillShade="D9"/>
            <w:vAlign w:val="center"/>
            <w:hideMark/>
          </w:tcPr>
          <w:p w14:paraId="37FD7F92" w14:textId="6580F045" w:rsidR="00B0710F" w:rsidRPr="004E0508" w:rsidRDefault="004E0508" w:rsidP="005644A1">
            <w:pPr>
              <w:rPr>
                <w:rFonts w:eastAsia="Times New Roman"/>
                <w:b/>
                <w:bCs/>
              </w:rPr>
            </w:pPr>
            <w:r>
              <w:rPr>
                <w:rFonts w:eastAsia="Times New Roman"/>
                <w:b/>
                <w:bCs/>
              </w:rPr>
              <w:t>Required for:</w:t>
            </w:r>
          </w:p>
        </w:tc>
        <w:tc>
          <w:tcPr>
            <w:tcW w:w="2055" w:type="dxa"/>
            <w:shd w:val="clear" w:color="auto" w:fill="FF0000"/>
            <w:hideMark/>
          </w:tcPr>
          <w:p w14:paraId="1313D843" w14:textId="77777777" w:rsidR="00B0710F" w:rsidRPr="005031EF" w:rsidRDefault="00B0710F" w:rsidP="005644A1">
            <w:pPr>
              <w:textAlignment w:val="baseline"/>
              <w:rPr>
                <w:rFonts w:eastAsia="Times New Roman"/>
              </w:rPr>
            </w:pPr>
            <w:r w:rsidRPr="005031EF">
              <w:rPr>
                <w:rFonts w:eastAsia="Times New Roman"/>
                <w:b/>
                <w:bCs/>
                <w:color w:val="000000"/>
              </w:rPr>
              <w:t>High</w:t>
            </w:r>
            <w:r w:rsidRPr="005031EF">
              <w:rPr>
                <w:rFonts w:eastAsia="Times New Roman"/>
                <w:color w:val="000000"/>
              </w:rPr>
              <w:t>  </w:t>
            </w:r>
          </w:p>
        </w:tc>
        <w:tc>
          <w:tcPr>
            <w:tcW w:w="2100" w:type="dxa"/>
            <w:shd w:val="clear" w:color="auto" w:fill="00B050"/>
            <w:hideMark/>
          </w:tcPr>
          <w:p w14:paraId="7B5C3C1B" w14:textId="77777777" w:rsidR="00B0710F" w:rsidRPr="005031EF" w:rsidRDefault="00B0710F" w:rsidP="005644A1">
            <w:pPr>
              <w:textAlignment w:val="baseline"/>
              <w:rPr>
                <w:rFonts w:eastAsia="Times New Roman"/>
              </w:rPr>
            </w:pPr>
            <w:r w:rsidRPr="005031EF">
              <w:rPr>
                <w:rFonts w:eastAsia="Times New Roman"/>
                <w:b/>
                <w:bCs/>
                <w:color w:val="000000"/>
              </w:rPr>
              <w:t>Moderate</w:t>
            </w:r>
            <w:r w:rsidRPr="005031EF">
              <w:rPr>
                <w:rFonts w:eastAsia="Times New Roman"/>
                <w:color w:val="000000"/>
              </w:rPr>
              <w:t> </w:t>
            </w:r>
          </w:p>
        </w:tc>
        <w:tc>
          <w:tcPr>
            <w:tcW w:w="2062" w:type="dxa"/>
            <w:hideMark/>
          </w:tcPr>
          <w:p w14:paraId="1C7AD9BD" w14:textId="4540C76D" w:rsidR="00B0710F" w:rsidRPr="005031EF" w:rsidRDefault="00B0710F" w:rsidP="005644A1">
            <w:pPr>
              <w:textAlignment w:val="baseline"/>
              <w:rPr>
                <w:rFonts w:eastAsia="Times New Roman"/>
              </w:rPr>
            </w:pPr>
          </w:p>
        </w:tc>
      </w:tr>
      <w:tr w:rsidR="00B0710F" w:rsidRPr="005031EF" w14:paraId="003E1E5F" w14:textId="77777777" w:rsidTr="3D22ACCD">
        <w:trPr>
          <w:trHeight w:val="300"/>
        </w:trPr>
        <w:tc>
          <w:tcPr>
            <w:tcW w:w="3135" w:type="dxa"/>
            <w:shd w:val="clear" w:color="auto" w:fill="D9D9D9" w:themeFill="background1" w:themeFillShade="D9"/>
            <w:hideMark/>
          </w:tcPr>
          <w:p w14:paraId="49BEDC31" w14:textId="39F29ADE" w:rsidR="00B0710F" w:rsidRPr="005031EF" w:rsidRDefault="00B0710F" w:rsidP="005644A1">
            <w:pPr>
              <w:textAlignment w:val="baseline"/>
              <w:rPr>
                <w:rFonts w:eastAsia="Times New Roman"/>
              </w:rPr>
            </w:pPr>
            <w:bookmarkStart w:id="0" w:name="_Int_328PKwCY"/>
            <w:r w:rsidRPr="3D22ACCD">
              <w:rPr>
                <w:rFonts w:eastAsia="Times New Roman"/>
                <w:b/>
                <w:bCs/>
                <w:color w:val="000000" w:themeColor="text1"/>
              </w:rPr>
              <w:t>IU</w:t>
            </w:r>
            <w:bookmarkEnd w:id="0"/>
            <w:r w:rsidRPr="3D22ACCD">
              <w:rPr>
                <w:rFonts w:eastAsia="Times New Roman"/>
                <w:b/>
                <w:bCs/>
                <w:color w:val="000000" w:themeColor="text1"/>
              </w:rPr>
              <w:t xml:space="preserve"> Implementation</w:t>
            </w:r>
            <w:r w:rsidRPr="3D22ACCD">
              <w:rPr>
                <w:rFonts w:eastAsia="Times New Roman"/>
                <w:color w:val="000000" w:themeColor="text1"/>
              </w:rPr>
              <w:t>  </w:t>
            </w:r>
          </w:p>
        </w:tc>
        <w:tc>
          <w:tcPr>
            <w:tcW w:w="6217" w:type="dxa"/>
            <w:gridSpan w:val="3"/>
            <w:hideMark/>
          </w:tcPr>
          <w:p w14:paraId="6535CC22" w14:textId="4715DF14" w:rsidR="00B0710F" w:rsidRPr="005031EF" w:rsidRDefault="00B0710F" w:rsidP="00A40F9C">
            <w:pPr>
              <w:pStyle w:val="ListParagraph"/>
              <w:widowControl/>
              <w:numPr>
                <w:ilvl w:val="0"/>
                <w:numId w:val="24"/>
              </w:numPr>
              <w:autoSpaceDE/>
              <w:autoSpaceDN/>
              <w:spacing w:before="160" w:after="160"/>
              <w:ind w:right="0"/>
              <w:jc w:val="left"/>
              <w:textAlignment w:val="baseline"/>
            </w:pPr>
            <w:r w:rsidRPr="005031EF">
              <w:t>Establish contingency plans for information technology resources identify</w:t>
            </w:r>
            <w:r w:rsidR="00A5664A">
              <w:t>ing</w:t>
            </w:r>
            <w:r w:rsidRPr="005031EF">
              <w:t xml:space="preserve"> critical business functions, priorities, roles and responsibilities, emergency operations, </w:t>
            </w:r>
            <w:r w:rsidR="00F819B5" w:rsidRPr="005031EF">
              <w:t xml:space="preserve">and </w:t>
            </w:r>
            <w:r w:rsidRPr="005031EF">
              <w:t>disaster recovery procedures.</w:t>
            </w:r>
          </w:p>
          <w:p w14:paraId="5BE5215F" w14:textId="02D9D932" w:rsidR="00B0710F" w:rsidRPr="005031EF" w:rsidRDefault="441C9893" w:rsidP="00A40F9C">
            <w:pPr>
              <w:pStyle w:val="ListParagraph"/>
              <w:widowControl/>
              <w:numPr>
                <w:ilvl w:val="0"/>
                <w:numId w:val="24"/>
              </w:numPr>
              <w:autoSpaceDE/>
              <w:autoSpaceDN/>
              <w:spacing w:before="160" w:after="160"/>
              <w:ind w:right="0"/>
              <w:jc w:val="left"/>
              <w:textAlignment w:val="baseline"/>
              <w:rPr>
                <w:rFonts w:eastAsia="Times New Roman"/>
              </w:rPr>
            </w:pPr>
            <w:r>
              <w:t xml:space="preserve">Review and approve contingency plans </w:t>
            </w:r>
            <w:r w:rsidR="427FE660">
              <w:t xml:space="preserve">annually. </w:t>
            </w:r>
          </w:p>
        </w:tc>
      </w:tr>
      <w:tr w:rsidR="00B0710F" w:rsidRPr="005031EF" w14:paraId="6682088C" w14:textId="77777777" w:rsidTr="3D22ACCD">
        <w:trPr>
          <w:trHeight w:val="300"/>
        </w:trPr>
        <w:tc>
          <w:tcPr>
            <w:tcW w:w="3135" w:type="dxa"/>
            <w:shd w:val="clear" w:color="auto" w:fill="D9D9D9" w:themeFill="background1" w:themeFillShade="D9"/>
            <w:hideMark/>
          </w:tcPr>
          <w:p w14:paraId="6A1FC25B" w14:textId="25CC68AB" w:rsidR="00B0710F" w:rsidRPr="005031EF" w:rsidRDefault="00B0710F" w:rsidP="005644A1">
            <w:pPr>
              <w:textAlignment w:val="baseline"/>
              <w:rPr>
                <w:rFonts w:eastAsia="Times New Roman"/>
              </w:rPr>
            </w:pPr>
            <w:r w:rsidRPr="005031EF">
              <w:rPr>
                <w:rFonts w:eastAsia="Times New Roman"/>
                <w:b/>
                <w:bCs/>
                <w:color w:val="000000"/>
              </w:rPr>
              <w:t>Notes</w:t>
            </w:r>
            <w:r w:rsidRPr="005031EF">
              <w:rPr>
                <w:rFonts w:eastAsia="Times New Roman"/>
                <w:color w:val="000000"/>
              </w:rPr>
              <w:t>  </w:t>
            </w:r>
          </w:p>
        </w:tc>
        <w:tc>
          <w:tcPr>
            <w:tcW w:w="6217" w:type="dxa"/>
            <w:gridSpan w:val="3"/>
            <w:hideMark/>
          </w:tcPr>
          <w:p w14:paraId="708FD4A2" w14:textId="037D4F24" w:rsidR="003E2CA3" w:rsidRPr="00E2491D" w:rsidRDefault="00B0710F" w:rsidP="00A40F9C">
            <w:pPr>
              <w:spacing w:before="160" w:after="160"/>
            </w:pPr>
            <w:r>
              <w:t xml:space="preserve">See also </w:t>
            </w:r>
            <w:hyperlink r:id="rId16">
              <w:r w:rsidRPr="4300799E">
                <w:rPr>
                  <w:rStyle w:val="Hyperlink"/>
                </w:rPr>
                <w:t>Domain 11, Busine</w:t>
              </w:r>
              <w:r w:rsidR="00794B7F">
                <w:rPr>
                  <w:rStyle w:val="Hyperlink"/>
                </w:rPr>
                <w:t>s</w:t>
              </w:r>
              <w:r w:rsidRPr="4300799E">
                <w:rPr>
                  <w:rStyle w:val="Hyperlink"/>
                </w:rPr>
                <w:t>s Continuity Management</w:t>
              </w:r>
            </w:hyperlink>
            <w:r>
              <w:t xml:space="preserve">, </w:t>
            </w:r>
            <w:r w:rsidR="00A5664A">
              <w:t xml:space="preserve">from </w:t>
            </w:r>
            <w:r>
              <w:t>the Information Security and Privacy Program.</w:t>
            </w:r>
          </w:p>
          <w:p w14:paraId="5F6FFE77" w14:textId="68B8F567" w:rsidR="003E2CA3" w:rsidRPr="00E2491D" w:rsidRDefault="0B57D3E1" w:rsidP="00A40F9C">
            <w:pPr>
              <w:spacing w:before="160" w:after="160"/>
            </w:pPr>
            <w:r>
              <w:t xml:space="preserve">See also </w:t>
            </w:r>
            <w:hyperlink r:id="rId17" w:history="1">
              <w:r w:rsidR="00060459" w:rsidRPr="00060459">
                <w:rPr>
                  <w:rStyle w:val="Hyperlink"/>
                </w:rPr>
                <w:t>Prepare your department for a crisis</w:t>
              </w:r>
            </w:hyperlink>
            <w:r w:rsidR="2E18B93B">
              <w:t>.</w:t>
            </w:r>
          </w:p>
        </w:tc>
      </w:tr>
      <w:tr w:rsidR="00B0710F" w:rsidRPr="005031EF" w14:paraId="0D8489AD" w14:textId="77777777" w:rsidTr="3D22ACCD">
        <w:trPr>
          <w:trHeight w:val="300"/>
        </w:trPr>
        <w:tc>
          <w:tcPr>
            <w:tcW w:w="3135" w:type="dxa"/>
            <w:shd w:val="clear" w:color="auto" w:fill="D9D9D9" w:themeFill="background1" w:themeFillShade="D9"/>
            <w:hideMark/>
          </w:tcPr>
          <w:p w14:paraId="258EE397" w14:textId="77777777" w:rsidR="00B0710F" w:rsidRPr="005031EF" w:rsidRDefault="00B0710F" w:rsidP="005644A1">
            <w:pPr>
              <w:textAlignment w:val="baseline"/>
              <w:rPr>
                <w:rFonts w:eastAsia="Times New Roman"/>
              </w:rPr>
            </w:pPr>
            <w:r w:rsidRPr="005031EF">
              <w:rPr>
                <w:rFonts w:eastAsia="Times New Roman"/>
                <w:b/>
                <w:bCs/>
                <w:color w:val="000000"/>
              </w:rPr>
              <w:t>NIST Cross Reference</w:t>
            </w:r>
            <w:r w:rsidRPr="005031EF">
              <w:rPr>
                <w:rFonts w:eastAsia="Times New Roman"/>
                <w:color w:val="000000"/>
              </w:rPr>
              <w:t>  </w:t>
            </w:r>
          </w:p>
        </w:tc>
        <w:tc>
          <w:tcPr>
            <w:tcW w:w="6217" w:type="dxa"/>
            <w:gridSpan w:val="3"/>
            <w:hideMark/>
          </w:tcPr>
          <w:p w14:paraId="75BDCD93" w14:textId="77777777" w:rsidR="00B0710F" w:rsidRPr="005031EF" w:rsidRDefault="00B0710F" w:rsidP="005644A1">
            <w:pPr>
              <w:textAlignment w:val="baseline"/>
              <w:rPr>
                <w:rFonts w:eastAsia="Times New Roman"/>
              </w:rPr>
            </w:pPr>
            <w:r w:rsidRPr="005031EF">
              <w:rPr>
                <w:rFonts w:eastAsia="Times New Roman"/>
              </w:rPr>
              <w:t>CP-2</w:t>
            </w:r>
          </w:p>
        </w:tc>
      </w:tr>
    </w:tbl>
    <w:p w14:paraId="30A25C55" w14:textId="77777777" w:rsidR="00B0710F" w:rsidRPr="005031EF" w:rsidRDefault="00B0710F" w:rsidP="00B0710F"/>
    <w:p w14:paraId="5FBD0257" w14:textId="77777777" w:rsidR="00B0710F" w:rsidRDefault="00B0710F" w:rsidP="00B0710F"/>
    <w:p w14:paraId="16BA307D" w14:textId="77777777" w:rsidR="004B79FA" w:rsidRDefault="004B79FA" w:rsidP="00B0710F"/>
    <w:p w14:paraId="3F5C4751" w14:textId="77777777" w:rsidR="004B79FA" w:rsidRPr="005031EF" w:rsidRDefault="004B79FA" w:rsidP="00B0710F"/>
    <w:tbl>
      <w:tblPr>
        <w:tblStyle w:val="TableGrid"/>
        <w:tblW w:w="9330" w:type="dxa"/>
        <w:tblCellMar>
          <w:left w:w="0" w:type="dxa"/>
          <w:right w:w="0" w:type="dxa"/>
        </w:tblCellMar>
        <w:tblLook w:val="04A0" w:firstRow="1" w:lastRow="0" w:firstColumn="1" w:lastColumn="0" w:noHBand="0" w:noVBand="1"/>
      </w:tblPr>
      <w:tblGrid>
        <w:gridCol w:w="2997"/>
        <w:gridCol w:w="1939"/>
        <w:gridCol w:w="1994"/>
        <w:gridCol w:w="2400"/>
      </w:tblGrid>
      <w:tr w:rsidR="00B0710F" w:rsidRPr="005031EF" w14:paraId="74674AD0" w14:textId="77777777" w:rsidTr="3D22ACCD">
        <w:trPr>
          <w:trHeight w:val="300"/>
        </w:trPr>
        <w:tc>
          <w:tcPr>
            <w:tcW w:w="2997" w:type="dxa"/>
            <w:shd w:val="clear" w:color="auto" w:fill="D9D9D9" w:themeFill="background1" w:themeFillShade="D9"/>
            <w:hideMark/>
          </w:tcPr>
          <w:p w14:paraId="2C28782E" w14:textId="3A2DF16B" w:rsidR="00B0710F" w:rsidRPr="005031EF" w:rsidRDefault="00770E7C" w:rsidP="0040236D">
            <w:pPr>
              <w:keepNext/>
              <w:keepLines/>
              <w:widowControl/>
              <w:textAlignment w:val="baseline"/>
              <w:rPr>
                <w:rFonts w:eastAsia="Times New Roman"/>
              </w:rPr>
            </w:pPr>
            <w:r>
              <w:rPr>
                <w:rFonts w:eastAsia="Times New Roman"/>
                <w:b/>
                <w:bCs/>
              </w:rPr>
              <w:t>Control:</w:t>
            </w:r>
            <w:r w:rsidR="00B0710F" w:rsidRPr="005031EF">
              <w:rPr>
                <w:rFonts w:eastAsia="Times New Roman"/>
                <w:color w:val="000000"/>
              </w:rPr>
              <w:t>  </w:t>
            </w:r>
          </w:p>
        </w:tc>
        <w:tc>
          <w:tcPr>
            <w:tcW w:w="6333" w:type="dxa"/>
            <w:gridSpan w:val="3"/>
            <w:hideMark/>
          </w:tcPr>
          <w:p w14:paraId="27975A13" w14:textId="6F5D7E98" w:rsidR="00B0710F" w:rsidRPr="005031EF" w:rsidRDefault="00770E7C" w:rsidP="0040236D">
            <w:pPr>
              <w:keepNext/>
              <w:keepLines/>
              <w:widowControl/>
              <w:textAlignment w:val="baseline"/>
              <w:rPr>
                <w:rFonts w:eastAsia="Times New Roman"/>
              </w:rPr>
            </w:pPr>
            <w:r w:rsidRPr="00770E7C">
              <w:rPr>
                <w:rFonts w:eastAsia="Times New Roman"/>
                <w:b/>
                <w:bCs/>
                <w:color w:val="000000"/>
              </w:rPr>
              <w:t>System Backup</w:t>
            </w:r>
          </w:p>
        </w:tc>
      </w:tr>
      <w:tr w:rsidR="00B0710F" w:rsidRPr="005031EF" w14:paraId="6BFD5346" w14:textId="77777777" w:rsidTr="3D22ACCD">
        <w:trPr>
          <w:trHeight w:val="300"/>
        </w:trPr>
        <w:tc>
          <w:tcPr>
            <w:tcW w:w="0" w:type="auto"/>
            <w:shd w:val="clear" w:color="auto" w:fill="D9D9D9" w:themeFill="background1" w:themeFillShade="D9"/>
            <w:vAlign w:val="center"/>
            <w:hideMark/>
          </w:tcPr>
          <w:p w14:paraId="39AE0B71" w14:textId="5B3BC79F" w:rsidR="00B0710F" w:rsidRPr="00EA2EB1" w:rsidRDefault="00EA2EB1" w:rsidP="0040236D">
            <w:pPr>
              <w:keepNext/>
              <w:keepLines/>
              <w:widowControl/>
              <w:rPr>
                <w:rFonts w:eastAsia="Times New Roman"/>
                <w:b/>
                <w:bCs/>
              </w:rPr>
            </w:pPr>
            <w:r>
              <w:rPr>
                <w:rFonts w:eastAsia="Times New Roman"/>
                <w:b/>
                <w:bCs/>
              </w:rPr>
              <w:t>Required for:</w:t>
            </w:r>
          </w:p>
        </w:tc>
        <w:tc>
          <w:tcPr>
            <w:tcW w:w="1939" w:type="dxa"/>
            <w:shd w:val="clear" w:color="auto" w:fill="FF0000"/>
            <w:hideMark/>
          </w:tcPr>
          <w:p w14:paraId="64F9CDE2" w14:textId="77777777" w:rsidR="00B0710F" w:rsidRPr="005031EF" w:rsidRDefault="00B0710F" w:rsidP="0040236D">
            <w:pPr>
              <w:keepNext/>
              <w:keepLines/>
              <w:widowControl/>
              <w:textAlignment w:val="baseline"/>
              <w:rPr>
                <w:rFonts w:eastAsia="Times New Roman"/>
              </w:rPr>
            </w:pPr>
            <w:r w:rsidRPr="005031EF">
              <w:rPr>
                <w:rFonts w:eastAsia="Times New Roman"/>
                <w:b/>
                <w:bCs/>
                <w:color w:val="000000"/>
              </w:rPr>
              <w:t>High</w:t>
            </w:r>
            <w:r w:rsidRPr="005031EF">
              <w:rPr>
                <w:rFonts w:eastAsia="Times New Roman"/>
                <w:color w:val="000000"/>
              </w:rPr>
              <w:t>  </w:t>
            </w:r>
          </w:p>
        </w:tc>
        <w:tc>
          <w:tcPr>
            <w:tcW w:w="1994" w:type="dxa"/>
            <w:shd w:val="clear" w:color="auto" w:fill="00B050"/>
            <w:hideMark/>
          </w:tcPr>
          <w:p w14:paraId="5E5C3D27" w14:textId="77777777" w:rsidR="00B0710F" w:rsidRPr="005031EF" w:rsidRDefault="00B0710F" w:rsidP="0040236D">
            <w:pPr>
              <w:keepNext/>
              <w:keepLines/>
              <w:widowControl/>
              <w:textAlignment w:val="baseline"/>
              <w:rPr>
                <w:rFonts w:eastAsia="Times New Roman"/>
              </w:rPr>
            </w:pPr>
            <w:r w:rsidRPr="005031EF">
              <w:rPr>
                <w:rFonts w:eastAsia="Times New Roman"/>
                <w:b/>
                <w:bCs/>
                <w:color w:val="000000"/>
              </w:rPr>
              <w:t>Moderate</w:t>
            </w:r>
            <w:r w:rsidRPr="005031EF">
              <w:rPr>
                <w:rFonts w:eastAsia="Times New Roman"/>
                <w:color w:val="000000"/>
              </w:rPr>
              <w:t> </w:t>
            </w:r>
          </w:p>
        </w:tc>
        <w:tc>
          <w:tcPr>
            <w:tcW w:w="2400" w:type="dxa"/>
            <w:hideMark/>
          </w:tcPr>
          <w:p w14:paraId="13A2EA25" w14:textId="489858E0" w:rsidR="00B0710F" w:rsidRPr="005031EF" w:rsidRDefault="00B0710F" w:rsidP="0040236D">
            <w:pPr>
              <w:keepNext/>
              <w:keepLines/>
              <w:widowControl/>
              <w:textAlignment w:val="baseline"/>
              <w:rPr>
                <w:rFonts w:eastAsia="Times New Roman"/>
              </w:rPr>
            </w:pPr>
          </w:p>
        </w:tc>
      </w:tr>
      <w:tr w:rsidR="00B0710F" w:rsidRPr="005031EF" w14:paraId="28C57027" w14:textId="77777777" w:rsidTr="3D22ACCD">
        <w:trPr>
          <w:trHeight w:val="300"/>
        </w:trPr>
        <w:tc>
          <w:tcPr>
            <w:tcW w:w="2997" w:type="dxa"/>
            <w:shd w:val="clear" w:color="auto" w:fill="D9D9D9" w:themeFill="background1" w:themeFillShade="D9"/>
            <w:hideMark/>
          </w:tcPr>
          <w:p w14:paraId="4F331C59" w14:textId="0A908B3E" w:rsidR="00B0710F" w:rsidRPr="005031EF" w:rsidRDefault="00B0710F" w:rsidP="0040236D">
            <w:pPr>
              <w:keepNext/>
              <w:keepLines/>
              <w:widowControl/>
              <w:textAlignment w:val="baseline"/>
              <w:rPr>
                <w:rFonts w:eastAsia="Times New Roman"/>
              </w:rPr>
            </w:pPr>
            <w:r w:rsidRPr="005031EF">
              <w:rPr>
                <w:rFonts w:eastAsia="Times New Roman"/>
                <w:b/>
                <w:bCs/>
                <w:color w:val="000000"/>
              </w:rPr>
              <w:t>IU Implementation</w:t>
            </w:r>
            <w:r w:rsidRPr="005031EF">
              <w:rPr>
                <w:rFonts w:eastAsia="Times New Roman"/>
                <w:color w:val="000000"/>
              </w:rPr>
              <w:t>  </w:t>
            </w:r>
          </w:p>
        </w:tc>
        <w:tc>
          <w:tcPr>
            <w:tcW w:w="6333" w:type="dxa"/>
            <w:gridSpan w:val="3"/>
            <w:hideMark/>
          </w:tcPr>
          <w:p w14:paraId="177AE284" w14:textId="6CE2C177" w:rsidR="00B0710F" w:rsidRPr="005031EF" w:rsidRDefault="002C14A3" w:rsidP="00A40F9C">
            <w:pPr>
              <w:keepNext/>
              <w:keepLines/>
              <w:widowControl/>
              <w:spacing w:before="160" w:after="160"/>
              <w:rPr>
                <w:rFonts w:eastAsia="Times New Roman"/>
              </w:rPr>
            </w:pPr>
            <w:bookmarkStart w:id="1" w:name="_Int_TKWdEpR3"/>
            <w:proofErr w:type="spellStart"/>
            <w:r>
              <w:t>Back</w:t>
            </w:r>
            <w:r w:rsidR="00067D91">
              <w:t xml:space="preserve"> </w:t>
            </w:r>
            <w:r>
              <w:t>up</w:t>
            </w:r>
            <w:bookmarkEnd w:id="1"/>
            <w:proofErr w:type="spellEnd"/>
            <w:r w:rsidR="78F5A8F8">
              <w:t xml:space="preserve"> system</w:t>
            </w:r>
            <w:r w:rsidR="4F523153">
              <w:t xml:space="preserve"> information</w:t>
            </w:r>
            <w:r w:rsidR="66154703">
              <w:t xml:space="preserve"> and documentation.</w:t>
            </w:r>
            <w:r w:rsidR="3A696C70">
              <w:t xml:space="preserve"> Backups </w:t>
            </w:r>
            <w:r w:rsidR="006C2A9B">
              <w:t>must</w:t>
            </w:r>
            <w:r w:rsidR="3A696C70">
              <w:t xml:space="preserve"> be:</w:t>
            </w:r>
          </w:p>
          <w:p w14:paraId="2AF7BAD1" w14:textId="1AAB537A" w:rsidR="00B0710F" w:rsidRPr="005031EF" w:rsidRDefault="3A696C70" w:rsidP="00A40F9C">
            <w:pPr>
              <w:pStyle w:val="ListParagraph"/>
              <w:keepNext/>
              <w:keepLines/>
              <w:widowControl/>
              <w:numPr>
                <w:ilvl w:val="0"/>
                <w:numId w:val="1"/>
              </w:numPr>
              <w:spacing w:after="160"/>
              <w:ind w:right="115"/>
              <w:contextualSpacing/>
            </w:pPr>
            <w:r>
              <w:t xml:space="preserve">Stored </w:t>
            </w:r>
            <w:bookmarkStart w:id="2" w:name="_Int_psrkNARo"/>
            <w:r>
              <w:t>at</w:t>
            </w:r>
            <w:bookmarkEnd w:id="2"/>
            <w:r>
              <w:t xml:space="preserve"> a secure, separate location</w:t>
            </w:r>
          </w:p>
          <w:p w14:paraId="5FBAFA4F" w14:textId="39AE27BE" w:rsidR="00B0710F" w:rsidRPr="005031EF" w:rsidRDefault="3A696C70" w:rsidP="00A40F9C">
            <w:pPr>
              <w:pStyle w:val="ListParagraph"/>
              <w:keepNext/>
              <w:keepLines/>
              <w:widowControl/>
              <w:numPr>
                <w:ilvl w:val="0"/>
                <w:numId w:val="1"/>
              </w:numPr>
              <w:spacing w:before="160" w:after="160"/>
              <w:ind w:right="115"/>
              <w:contextualSpacing/>
            </w:pPr>
            <w:r>
              <w:t>Encrypted per university and compliance requirements</w:t>
            </w:r>
          </w:p>
          <w:p w14:paraId="76D371E6" w14:textId="6937753E" w:rsidR="00B0710F" w:rsidRPr="005031EF" w:rsidRDefault="3A696C70" w:rsidP="00A40F9C">
            <w:pPr>
              <w:pStyle w:val="ListParagraph"/>
              <w:keepNext/>
              <w:keepLines/>
              <w:widowControl/>
              <w:numPr>
                <w:ilvl w:val="0"/>
                <w:numId w:val="1"/>
              </w:numPr>
              <w:spacing w:before="160" w:after="160"/>
              <w:ind w:right="115"/>
              <w:contextualSpacing/>
            </w:pPr>
            <w:r>
              <w:t>Regularly tested</w:t>
            </w:r>
          </w:p>
        </w:tc>
      </w:tr>
      <w:tr w:rsidR="00B0710F" w:rsidRPr="005031EF" w14:paraId="6C78649B" w14:textId="77777777" w:rsidTr="3D22ACCD">
        <w:trPr>
          <w:trHeight w:val="300"/>
        </w:trPr>
        <w:tc>
          <w:tcPr>
            <w:tcW w:w="2997" w:type="dxa"/>
            <w:shd w:val="clear" w:color="auto" w:fill="D9D9D9" w:themeFill="background1" w:themeFillShade="D9"/>
            <w:hideMark/>
          </w:tcPr>
          <w:p w14:paraId="396C5BB7" w14:textId="6F1920CE" w:rsidR="00B0710F" w:rsidRPr="005031EF" w:rsidRDefault="00B0710F" w:rsidP="005644A1">
            <w:pPr>
              <w:textAlignment w:val="baseline"/>
              <w:rPr>
                <w:rFonts w:eastAsia="Times New Roman"/>
              </w:rPr>
            </w:pPr>
            <w:r w:rsidRPr="005031EF">
              <w:rPr>
                <w:rFonts w:eastAsia="Times New Roman"/>
                <w:b/>
                <w:bCs/>
                <w:color w:val="000000"/>
              </w:rPr>
              <w:t>Notes</w:t>
            </w:r>
            <w:r w:rsidRPr="005031EF">
              <w:rPr>
                <w:rFonts w:eastAsia="Times New Roman"/>
                <w:color w:val="000000"/>
              </w:rPr>
              <w:t>  </w:t>
            </w:r>
          </w:p>
        </w:tc>
        <w:tc>
          <w:tcPr>
            <w:tcW w:w="6333" w:type="dxa"/>
            <w:gridSpan w:val="3"/>
            <w:hideMark/>
          </w:tcPr>
          <w:p w14:paraId="0387E03D" w14:textId="2FA53359" w:rsidR="00E62D4A" w:rsidRPr="005031EF" w:rsidRDefault="00B0710F" w:rsidP="00A40F9C">
            <w:pPr>
              <w:spacing w:before="160" w:after="160"/>
              <w:rPr>
                <w:rFonts w:eastAsia="Times New Roman"/>
              </w:rPr>
            </w:pPr>
            <w:r w:rsidRPr="3D22ACCD">
              <w:rPr>
                <w:rFonts w:eastAsia="Times New Roman"/>
              </w:rPr>
              <w:t xml:space="preserve">Use of centrally provisioned, common </w:t>
            </w:r>
            <w:bookmarkStart w:id="3" w:name="_Int_SvmbXCum"/>
            <w:r w:rsidRPr="3D22ACCD">
              <w:rPr>
                <w:rFonts w:eastAsia="Times New Roman"/>
              </w:rPr>
              <w:t>IT</w:t>
            </w:r>
            <w:bookmarkEnd w:id="3"/>
            <w:r w:rsidRPr="3D22ACCD">
              <w:rPr>
                <w:rFonts w:eastAsia="Times New Roman"/>
              </w:rPr>
              <w:t xml:space="preserve"> infrastructure and services provided by </w:t>
            </w:r>
            <w:bookmarkStart w:id="4" w:name="_Int_VjZOqU3U"/>
            <w:r w:rsidRPr="3D22ACCD">
              <w:rPr>
                <w:rFonts w:eastAsia="Times New Roman"/>
              </w:rPr>
              <w:t>UITS</w:t>
            </w:r>
            <w:bookmarkEnd w:id="4"/>
            <w:r w:rsidRPr="3D22ACCD">
              <w:rPr>
                <w:rFonts w:eastAsia="Times New Roman"/>
              </w:rPr>
              <w:t xml:space="preserve"> often fulfills this requirement. Check with </w:t>
            </w:r>
            <w:r w:rsidR="00FF37C8" w:rsidRPr="3D22ACCD">
              <w:rPr>
                <w:rFonts w:eastAsia="Times New Roman"/>
              </w:rPr>
              <w:t xml:space="preserve">the </w:t>
            </w:r>
            <w:r w:rsidRPr="3D22ACCD">
              <w:rPr>
                <w:rFonts w:eastAsia="Times New Roman"/>
              </w:rPr>
              <w:t>service owner for details</w:t>
            </w:r>
            <w:r w:rsidR="00E62D4A" w:rsidRPr="3D22ACCD">
              <w:rPr>
                <w:rFonts w:eastAsia="Times New Roman"/>
              </w:rPr>
              <w:t>.</w:t>
            </w:r>
          </w:p>
          <w:p w14:paraId="6AAC3BA0" w14:textId="51994B5A" w:rsidR="00E62D4A" w:rsidRPr="001F61BF" w:rsidRDefault="00B0710F" w:rsidP="00A40F9C">
            <w:pPr>
              <w:spacing w:before="160" w:after="160"/>
              <w:rPr>
                <w:rFonts w:eastAsia="Times New Roman"/>
                <w:color w:val="0000FF"/>
                <w:u w:val="single"/>
              </w:rPr>
            </w:pPr>
            <w:r w:rsidRPr="005031EF">
              <w:rPr>
                <w:rFonts w:eastAsia="Times New Roman"/>
              </w:rPr>
              <w:t xml:space="preserve">See also </w:t>
            </w:r>
            <w:hyperlink r:id="rId18" w:history="1">
              <w:r w:rsidR="005A14F8">
                <w:rPr>
                  <w:rStyle w:val="Hyperlink"/>
                  <w:rFonts w:eastAsia="Times New Roman"/>
                </w:rPr>
                <w:t>Back up data</w:t>
              </w:r>
            </w:hyperlink>
            <w:r w:rsidR="00E62D4A">
              <w:t>.</w:t>
            </w:r>
          </w:p>
        </w:tc>
      </w:tr>
      <w:tr w:rsidR="00B0710F" w:rsidRPr="005031EF" w14:paraId="77480D56" w14:textId="77777777" w:rsidTr="3D22ACCD">
        <w:trPr>
          <w:trHeight w:val="300"/>
        </w:trPr>
        <w:tc>
          <w:tcPr>
            <w:tcW w:w="2997" w:type="dxa"/>
            <w:shd w:val="clear" w:color="auto" w:fill="D9D9D9" w:themeFill="background1" w:themeFillShade="D9"/>
            <w:hideMark/>
          </w:tcPr>
          <w:p w14:paraId="61B87555" w14:textId="77777777" w:rsidR="00B0710F" w:rsidRPr="005031EF" w:rsidRDefault="00B0710F" w:rsidP="005644A1">
            <w:pPr>
              <w:textAlignment w:val="baseline"/>
              <w:rPr>
                <w:rFonts w:eastAsia="Times New Roman"/>
              </w:rPr>
            </w:pPr>
            <w:r w:rsidRPr="005031EF">
              <w:rPr>
                <w:rFonts w:eastAsia="Times New Roman"/>
                <w:b/>
                <w:bCs/>
                <w:color w:val="000000"/>
              </w:rPr>
              <w:t>NIST Cross Reference</w:t>
            </w:r>
            <w:r w:rsidRPr="005031EF">
              <w:rPr>
                <w:rFonts w:eastAsia="Times New Roman"/>
                <w:color w:val="000000"/>
              </w:rPr>
              <w:t>  </w:t>
            </w:r>
          </w:p>
        </w:tc>
        <w:tc>
          <w:tcPr>
            <w:tcW w:w="6333" w:type="dxa"/>
            <w:gridSpan w:val="3"/>
            <w:hideMark/>
          </w:tcPr>
          <w:p w14:paraId="7C7A34C9" w14:textId="77777777" w:rsidR="00B0710F" w:rsidRPr="005031EF" w:rsidRDefault="00B0710F" w:rsidP="005644A1">
            <w:pPr>
              <w:textAlignment w:val="baseline"/>
              <w:rPr>
                <w:rFonts w:eastAsia="Times New Roman"/>
              </w:rPr>
            </w:pPr>
            <w:r w:rsidRPr="005031EF">
              <w:rPr>
                <w:rFonts w:eastAsia="Times New Roman"/>
              </w:rPr>
              <w:t>CP-9</w:t>
            </w:r>
          </w:p>
        </w:tc>
      </w:tr>
    </w:tbl>
    <w:p w14:paraId="22348212" w14:textId="634B3B17" w:rsidR="00B0710F" w:rsidRPr="005031EF" w:rsidRDefault="00B0710F" w:rsidP="00B0710F"/>
    <w:p w14:paraId="5826BF04" w14:textId="77777777" w:rsidR="00B0710F" w:rsidRDefault="00B0710F" w:rsidP="00B0710F"/>
    <w:p w14:paraId="7FD73E8C" w14:textId="77777777" w:rsidR="004B79FA" w:rsidRPr="005031EF" w:rsidRDefault="004B79FA" w:rsidP="00B0710F"/>
    <w:tbl>
      <w:tblPr>
        <w:tblStyle w:val="TableGrid"/>
        <w:tblW w:w="9352" w:type="dxa"/>
        <w:tblCellMar>
          <w:left w:w="0" w:type="dxa"/>
          <w:right w:w="0" w:type="dxa"/>
        </w:tblCellMar>
        <w:tblLook w:val="04A0" w:firstRow="1" w:lastRow="0" w:firstColumn="1" w:lastColumn="0" w:noHBand="0" w:noVBand="1"/>
      </w:tblPr>
      <w:tblGrid>
        <w:gridCol w:w="3135"/>
        <w:gridCol w:w="2055"/>
        <w:gridCol w:w="2100"/>
        <w:gridCol w:w="2062"/>
      </w:tblGrid>
      <w:tr w:rsidR="00B0710F" w:rsidRPr="005031EF" w14:paraId="4ABB7C58" w14:textId="77777777" w:rsidTr="70AE9646">
        <w:trPr>
          <w:trHeight w:val="300"/>
        </w:trPr>
        <w:tc>
          <w:tcPr>
            <w:tcW w:w="3135" w:type="dxa"/>
            <w:shd w:val="clear" w:color="auto" w:fill="D9D9D9" w:themeFill="background1" w:themeFillShade="D9"/>
            <w:hideMark/>
          </w:tcPr>
          <w:p w14:paraId="536EC0AF" w14:textId="6A874F83" w:rsidR="00B0710F" w:rsidRPr="005031EF" w:rsidRDefault="00F969B2" w:rsidP="00F03EBA">
            <w:pPr>
              <w:textAlignment w:val="baseline"/>
              <w:rPr>
                <w:rFonts w:eastAsia="Times New Roman"/>
              </w:rPr>
            </w:pPr>
            <w:r>
              <w:rPr>
                <w:rFonts w:eastAsia="Times New Roman"/>
                <w:b/>
                <w:bCs/>
              </w:rPr>
              <w:t>Control:</w:t>
            </w:r>
          </w:p>
        </w:tc>
        <w:tc>
          <w:tcPr>
            <w:tcW w:w="6217" w:type="dxa"/>
            <w:gridSpan w:val="3"/>
            <w:hideMark/>
          </w:tcPr>
          <w:p w14:paraId="5AE2D2BD" w14:textId="26899443" w:rsidR="00B0710F" w:rsidRPr="005031EF" w:rsidRDefault="00F03EBA" w:rsidP="00F03EBA">
            <w:pPr>
              <w:textAlignment w:val="baseline"/>
              <w:rPr>
                <w:rFonts w:eastAsia="Times New Roman"/>
              </w:rPr>
            </w:pPr>
            <w:r w:rsidRPr="00F03EBA">
              <w:rPr>
                <w:rFonts w:eastAsia="Times New Roman"/>
                <w:b/>
                <w:bCs/>
                <w:color w:val="000000"/>
              </w:rPr>
              <w:t>System Recovery and Reconstitution</w:t>
            </w:r>
          </w:p>
        </w:tc>
      </w:tr>
      <w:tr w:rsidR="00B0710F" w:rsidRPr="005031EF" w14:paraId="521CCC06" w14:textId="77777777" w:rsidTr="70AE9646">
        <w:trPr>
          <w:trHeight w:val="300"/>
        </w:trPr>
        <w:tc>
          <w:tcPr>
            <w:tcW w:w="0" w:type="auto"/>
            <w:shd w:val="clear" w:color="auto" w:fill="D9D9D9" w:themeFill="background1" w:themeFillShade="D9"/>
            <w:vAlign w:val="center"/>
            <w:hideMark/>
          </w:tcPr>
          <w:p w14:paraId="159E1416" w14:textId="18B727B5" w:rsidR="00B0710F" w:rsidRPr="00F969B2" w:rsidRDefault="00F969B2" w:rsidP="005644A1">
            <w:pPr>
              <w:rPr>
                <w:rFonts w:eastAsia="Times New Roman"/>
                <w:b/>
                <w:bCs/>
              </w:rPr>
            </w:pPr>
            <w:r>
              <w:rPr>
                <w:rFonts w:eastAsia="Times New Roman"/>
                <w:b/>
                <w:bCs/>
              </w:rPr>
              <w:t>Required for:</w:t>
            </w:r>
          </w:p>
        </w:tc>
        <w:tc>
          <w:tcPr>
            <w:tcW w:w="2055" w:type="dxa"/>
            <w:shd w:val="clear" w:color="auto" w:fill="FF0000"/>
            <w:hideMark/>
          </w:tcPr>
          <w:p w14:paraId="6C755AD8" w14:textId="77777777" w:rsidR="00B0710F" w:rsidRPr="005031EF" w:rsidRDefault="00B0710F" w:rsidP="005644A1">
            <w:pPr>
              <w:textAlignment w:val="baseline"/>
              <w:rPr>
                <w:rFonts w:eastAsia="Times New Roman"/>
              </w:rPr>
            </w:pPr>
            <w:r w:rsidRPr="005031EF">
              <w:rPr>
                <w:rFonts w:eastAsia="Times New Roman"/>
                <w:b/>
                <w:bCs/>
                <w:color w:val="000000"/>
              </w:rPr>
              <w:t>High</w:t>
            </w:r>
            <w:r w:rsidRPr="005031EF">
              <w:rPr>
                <w:rFonts w:eastAsia="Times New Roman"/>
                <w:color w:val="000000"/>
              </w:rPr>
              <w:t>  </w:t>
            </w:r>
          </w:p>
        </w:tc>
        <w:tc>
          <w:tcPr>
            <w:tcW w:w="2100" w:type="dxa"/>
            <w:shd w:val="clear" w:color="auto" w:fill="00B050"/>
            <w:hideMark/>
          </w:tcPr>
          <w:p w14:paraId="6D2AFBEA" w14:textId="77777777" w:rsidR="00B0710F" w:rsidRPr="005031EF" w:rsidRDefault="00B0710F" w:rsidP="005644A1">
            <w:pPr>
              <w:textAlignment w:val="baseline"/>
              <w:rPr>
                <w:rFonts w:eastAsia="Times New Roman"/>
              </w:rPr>
            </w:pPr>
            <w:r w:rsidRPr="005031EF">
              <w:rPr>
                <w:rFonts w:eastAsia="Times New Roman"/>
                <w:b/>
                <w:bCs/>
                <w:color w:val="000000"/>
              </w:rPr>
              <w:t>Moderate</w:t>
            </w:r>
            <w:r w:rsidRPr="005031EF">
              <w:rPr>
                <w:rFonts w:eastAsia="Times New Roman"/>
                <w:color w:val="000000"/>
              </w:rPr>
              <w:t> </w:t>
            </w:r>
          </w:p>
        </w:tc>
        <w:tc>
          <w:tcPr>
            <w:tcW w:w="2062" w:type="dxa"/>
            <w:hideMark/>
          </w:tcPr>
          <w:p w14:paraId="250F2C22" w14:textId="0CC34DDC" w:rsidR="00B0710F" w:rsidRPr="005031EF" w:rsidRDefault="00B0710F" w:rsidP="005644A1">
            <w:pPr>
              <w:textAlignment w:val="baseline"/>
              <w:rPr>
                <w:rFonts w:eastAsia="Times New Roman"/>
              </w:rPr>
            </w:pPr>
          </w:p>
        </w:tc>
      </w:tr>
      <w:tr w:rsidR="00B0710F" w:rsidRPr="005031EF" w14:paraId="1691ED25" w14:textId="77777777" w:rsidTr="70AE9646">
        <w:trPr>
          <w:trHeight w:val="300"/>
        </w:trPr>
        <w:tc>
          <w:tcPr>
            <w:tcW w:w="3135" w:type="dxa"/>
            <w:shd w:val="clear" w:color="auto" w:fill="D9D9D9" w:themeFill="background1" w:themeFillShade="D9"/>
            <w:hideMark/>
          </w:tcPr>
          <w:p w14:paraId="40ACD4C0" w14:textId="2198553B" w:rsidR="00B0710F" w:rsidRPr="005031EF" w:rsidRDefault="00B0710F" w:rsidP="005644A1">
            <w:pPr>
              <w:textAlignment w:val="baseline"/>
              <w:rPr>
                <w:rFonts w:eastAsia="Times New Roman"/>
              </w:rPr>
            </w:pPr>
            <w:r w:rsidRPr="005031EF">
              <w:rPr>
                <w:rFonts w:eastAsia="Times New Roman"/>
                <w:b/>
                <w:bCs/>
                <w:color w:val="000000"/>
              </w:rPr>
              <w:t>IU Implementation</w:t>
            </w:r>
            <w:r w:rsidRPr="005031EF">
              <w:rPr>
                <w:rFonts w:eastAsia="Times New Roman"/>
                <w:color w:val="000000"/>
              </w:rPr>
              <w:t>  </w:t>
            </w:r>
          </w:p>
        </w:tc>
        <w:tc>
          <w:tcPr>
            <w:tcW w:w="6217" w:type="dxa"/>
            <w:gridSpan w:val="3"/>
            <w:hideMark/>
          </w:tcPr>
          <w:p w14:paraId="416A913C" w14:textId="7B7DF165" w:rsidR="00B0710F" w:rsidRPr="005031EF" w:rsidRDefault="00B0710F" w:rsidP="00A40F9C">
            <w:pPr>
              <w:pStyle w:val="ListParagraph"/>
              <w:widowControl/>
              <w:numPr>
                <w:ilvl w:val="0"/>
                <w:numId w:val="25"/>
              </w:numPr>
              <w:autoSpaceDE/>
              <w:autoSpaceDN/>
              <w:spacing w:before="160" w:after="160" w:line="259" w:lineRule="auto"/>
              <w:ind w:left="720" w:right="0"/>
              <w:contextualSpacing/>
              <w:jc w:val="left"/>
            </w:pPr>
            <w:r w:rsidRPr="005031EF">
              <w:t>Systems must</w:t>
            </w:r>
            <w:r w:rsidR="00880025">
              <w:t xml:space="preserve"> be</w:t>
            </w:r>
            <w:r w:rsidRPr="005031EF">
              <w:t xml:space="preserve"> recoverable to a known state after an incident.</w:t>
            </w:r>
          </w:p>
          <w:p w14:paraId="6652EE6E" w14:textId="5D058AAB" w:rsidR="00B0710F" w:rsidRPr="005031EF" w:rsidRDefault="006C2A9B" w:rsidP="00A40F9C">
            <w:pPr>
              <w:pStyle w:val="ListParagraph"/>
              <w:widowControl/>
              <w:numPr>
                <w:ilvl w:val="0"/>
                <w:numId w:val="25"/>
              </w:numPr>
              <w:autoSpaceDE/>
              <w:autoSpaceDN/>
              <w:spacing w:before="160" w:after="160" w:line="259" w:lineRule="auto"/>
              <w:ind w:left="720" w:right="0"/>
              <w:contextualSpacing/>
              <w:jc w:val="left"/>
            </w:pPr>
            <w:r>
              <w:t>Review and test d</w:t>
            </w:r>
            <w:r w:rsidR="615CEBD5">
              <w:t xml:space="preserve">isaster </w:t>
            </w:r>
            <w:r w:rsidR="4A57E3D9">
              <w:t>r</w:t>
            </w:r>
            <w:r w:rsidR="615CEBD5">
              <w:t xml:space="preserve">ecovery </w:t>
            </w:r>
            <w:r w:rsidR="4A57E3D9">
              <w:t>p</w:t>
            </w:r>
            <w:r w:rsidR="615CEBD5">
              <w:t xml:space="preserve">lans </w:t>
            </w:r>
            <w:r w:rsidR="3E7BFCD8">
              <w:t xml:space="preserve">annually. </w:t>
            </w:r>
          </w:p>
        </w:tc>
      </w:tr>
      <w:tr w:rsidR="00B0710F" w:rsidRPr="005031EF" w14:paraId="7FDCC8FB" w14:textId="77777777" w:rsidTr="70AE9646">
        <w:trPr>
          <w:trHeight w:val="300"/>
        </w:trPr>
        <w:tc>
          <w:tcPr>
            <w:tcW w:w="3135" w:type="dxa"/>
            <w:shd w:val="clear" w:color="auto" w:fill="D9D9D9" w:themeFill="background1" w:themeFillShade="D9"/>
            <w:hideMark/>
          </w:tcPr>
          <w:p w14:paraId="77436F97" w14:textId="06CADC62" w:rsidR="00B0710F" w:rsidRPr="005031EF" w:rsidRDefault="00B0710F" w:rsidP="005644A1">
            <w:pPr>
              <w:textAlignment w:val="baseline"/>
              <w:rPr>
                <w:rFonts w:eastAsia="Times New Roman"/>
              </w:rPr>
            </w:pPr>
            <w:r w:rsidRPr="005031EF">
              <w:rPr>
                <w:rFonts w:eastAsia="Times New Roman"/>
                <w:b/>
                <w:bCs/>
                <w:color w:val="000000"/>
              </w:rPr>
              <w:t>Notes</w:t>
            </w:r>
            <w:r w:rsidRPr="005031EF">
              <w:rPr>
                <w:rFonts w:eastAsia="Times New Roman"/>
                <w:color w:val="000000"/>
              </w:rPr>
              <w:t>  </w:t>
            </w:r>
          </w:p>
        </w:tc>
        <w:tc>
          <w:tcPr>
            <w:tcW w:w="6217" w:type="dxa"/>
            <w:gridSpan w:val="3"/>
            <w:hideMark/>
          </w:tcPr>
          <w:p w14:paraId="01EBA12A" w14:textId="5E8D650F" w:rsidR="003E2CA3" w:rsidRPr="005031EF" w:rsidRDefault="00B0710F" w:rsidP="00A40F9C">
            <w:pPr>
              <w:spacing w:before="160" w:after="160"/>
            </w:pPr>
            <w:r>
              <w:t xml:space="preserve">See also </w:t>
            </w:r>
            <w:hyperlink r:id="rId19">
              <w:r w:rsidRPr="6840F718">
                <w:rPr>
                  <w:rStyle w:val="Hyperlink"/>
                </w:rPr>
                <w:t>Departmental disaster recovery planning</w:t>
              </w:r>
            </w:hyperlink>
            <w:r>
              <w:t>.</w:t>
            </w:r>
          </w:p>
          <w:p w14:paraId="711CFB2C" w14:textId="0D43F37C" w:rsidR="003E2CA3" w:rsidRPr="005031EF" w:rsidRDefault="3D2E1226" w:rsidP="00A40F9C">
            <w:pPr>
              <w:spacing w:before="160" w:after="160"/>
            </w:pPr>
            <w:r>
              <w:t xml:space="preserve">Effective disaster recovery includes resetting all system parameters, reinstalling patches, and reconfiguring/reinstalling applications and system software. </w:t>
            </w:r>
          </w:p>
        </w:tc>
      </w:tr>
      <w:tr w:rsidR="00B0710F" w:rsidRPr="005031EF" w14:paraId="7B1B6E29" w14:textId="77777777" w:rsidTr="70AE9646">
        <w:trPr>
          <w:trHeight w:val="300"/>
        </w:trPr>
        <w:tc>
          <w:tcPr>
            <w:tcW w:w="3135" w:type="dxa"/>
            <w:shd w:val="clear" w:color="auto" w:fill="D9D9D9" w:themeFill="background1" w:themeFillShade="D9"/>
            <w:hideMark/>
          </w:tcPr>
          <w:p w14:paraId="54174B14" w14:textId="77777777" w:rsidR="00B0710F" w:rsidRPr="005031EF" w:rsidRDefault="00B0710F" w:rsidP="005644A1">
            <w:pPr>
              <w:textAlignment w:val="baseline"/>
              <w:rPr>
                <w:rFonts w:eastAsia="Times New Roman"/>
              </w:rPr>
            </w:pPr>
            <w:r w:rsidRPr="005031EF">
              <w:rPr>
                <w:rFonts w:eastAsia="Times New Roman"/>
                <w:b/>
                <w:bCs/>
                <w:color w:val="000000"/>
              </w:rPr>
              <w:t>NIST Cross Reference</w:t>
            </w:r>
            <w:r w:rsidRPr="005031EF">
              <w:rPr>
                <w:rFonts w:eastAsia="Times New Roman"/>
                <w:color w:val="000000"/>
              </w:rPr>
              <w:t>  </w:t>
            </w:r>
          </w:p>
        </w:tc>
        <w:tc>
          <w:tcPr>
            <w:tcW w:w="6217" w:type="dxa"/>
            <w:gridSpan w:val="3"/>
            <w:hideMark/>
          </w:tcPr>
          <w:p w14:paraId="1CA82EE3" w14:textId="77777777" w:rsidR="00B0710F" w:rsidRPr="005031EF" w:rsidRDefault="00B0710F" w:rsidP="005644A1">
            <w:pPr>
              <w:textAlignment w:val="baseline"/>
              <w:rPr>
                <w:rFonts w:eastAsia="Times New Roman"/>
              </w:rPr>
            </w:pPr>
            <w:r w:rsidRPr="005031EF">
              <w:rPr>
                <w:rFonts w:eastAsia="Times New Roman"/>
              </w:rPr>
              <w:t>CP-10</w:t>
            </w:r>
          </w:p>
        </w:tc>
      </w:tr>
    </w:tbl>
    <w:p w14:paraId="7E8247CB" w14:textId="670927A9" w:rsidR="00520EF5" w:rsidRDefault="00520EF5" w:rsidP="009F3EEE">
      <w:pPr>
        <w:spacing w:before="100" w:beforeAutospacing="1" w:after="100" w:afterAutospacing="1"/>
        <w:outlineLvl w:val="2"/>
      </w:pPr>
    </w:p>
    <w:p w14:paraId="21108B1F" w14:textId="10378301" w:rsidR="00B31F2A" w:rsidRDefault="00B31F2A" w:rsidP="00C53F1B">
      <w:pPr>
        <w:pStyle w:val="Heading2"/>
        <w:spacing w:before="163" w:after="120"/>
        <w:ind w:left="115"/>
      </w:pPr>
      <w:r>
        <w:t>Definitions</w:t>
      </w:r>
    </w:p>
    <w:p w14:paraId="67332789" w14:textId="24021FB3" w:rsidR="00B31F2A" w:rsidRPr="00C53F1B" w:rsidRDefault="00FA5997" w:rsidP="00C53F1B">
      <w:pPr>
        <w:ind w:left="115"/>
      </w:pPr>
      <w:r w:rsidRPr="3D22ACCD">
        <w:rPr>
          <w:b/>
          <w:bCs/>
        </w:rPr>
        <w:t>Standard</w:t>
      </w:r>
      <w:r>
        <w:t xml:space="preserve"> - Standards (like procedures) support policy by further describing specific implementation details (i.e.</w:t>
      </w:r>
      <w:r w:rsidR="0012172C">
        <w:t>,</w:t>
      </w:r>
      <w:r>
        <w:t xml:space="preserve"> the "how"). A standard can be thought of as an extension of policy that articulates the rules, mechanisms, technical or procedural requirements</w:t>
      </w:r>
      <w:r w:rsidR="00E50B2E">
        <w:t>,</w:t>
      </w:r>
      <w:r>
        <w:t xml:space="preserve"> or specifications to be used in carrying out/complying with policy. Standards, along with procedures, promote a consistent approach to following policy. Standards make policies more </w:t>
      </w:r>
      <w:bookmarkStart w:id="5" w:name="_Int_SJgfhKmM"/>
      <w:r>
        <w:t>practically meaningful</w:t>
      </w:r>
      <w:bookmarkEnd w:id="5"/>
      <w:r>
        <w:t xml:space="preserve"> and effective. Standards are definitional and clarifying in nature</w:t>
      </w:r>
      <w:r w:rsidR="00857D57">
        <w:t>,</w:t>
      </w:r>
      <w:r>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5ADAC289" w14:textId="53D8C27D" w:rsidR="0082630C" w:rsidRDefault="00B31F2A" w:rsidP="00D92BAF">
      <w:pPr>
        <w:pStyle w:val="Heading2"/>
        <w:spacing w:before="163" w:after="120"/>
        <w:ind w:left="115"/>
      </w:pPr>
      <w:r>
        <w:t xml:space="preserve">Sanctions </w:t>
      </w:r>
    </w:p>
    <w:p w14:paraId="3F14D7E3" w14:textId="0320C452" w:rsidR="00985B3C" w:rsidRDefault="00985B3C" w:rsidP="003B3548">
      <w:pPr>
        <w:spacing w:after="120"/>
        <w:ind w:left="115"/>
      </w:pPr>
      <w:r>
        <w:t>Indiana University will handle reports of misuse and abuse of information and information technology resources in accordance with existing policies and procedures issued by appropriate authorities. Depending on the individual and circumstances involved</w:t>
      </w:r>
      <w:r w:rsidR="006A35A5">
        <w:t>,</w:t>
      </w:r>
      <w:r>
        <w:t xml:space="preserve"> this could include the </w:t>
      </w:r>
      <w:r w:rsidR="006A35A5">
        <w:t>O</w:t>
      </w:r>
      <w:r>
        <w:t xml:space="preserve">ffice of Human Resources, Vice </w:t>
      </w:r>
      <w:bookmarkStart w:id="6" w:name="_Int_XtiaULry"/>
      <w:proofErr w:type="gramStart"/>
      <w:r>
        <w:t>Provost</w:t>
      </w:r>
      <w:bookmarkEnd w:id="6"/>
      <w:proofErr w:type="gramEnd"/>
      <w:r>
        <w:t xml:space="preserve"> or Vice Chancellor of Faculties (or campus equivalent), Dean of Students (or campus equivalent), Office of the </w:t>
      </w:r>
      <w:r w:rsidR="002E59E0">
        <w:t xml:space="preserve">Vice President and </w:t>
      </w:r>
      <w:r>
        <w:t xml:space="preserve">General Counsel, and/or appropriate law enforcement agencies. See </w:t>
      </w:r>
      <w:r w:rsidR="0001340B">
        <w:t>P</w:t>
      </w:r>
      <w:r>
        <w:t xml:space="preserve">olicy </w:t>
      </w:r>
      <w:hyperlink r:id="rId20">
        <w:r w:rsidRPr="3D22ACCD">
          <w:rPr>
            <w:rStyle w:val="Hyperlink"/>
          </w:rPr>
          <w:t xml:space="preserve">IT-02 </w:t>
        </w:r>
        <w:r w:rsidR="0001340B" w:rsidRPr="3D22ACCD">
          <w:rPr>
            <w:rStyle w:val="Hyperlink"/>
          </w:rPr>
          <w:t>(</w:t>
        </w:r>
        <w:r w:rsidRPr="3D22ACCD">
          <w:rPr>
            <w:rStyle w:val="Hyperlink"/>
          </w:rPr>
          <w:t>Misuse and Abuse of Information Technology Resources</w:t>
        </w:r>
      </w:hyperlink>
      <w:r w:rsidR="0001340B">
        <w:t>)</w:t>
      </w:r>
      <w:r>
        <w:t xml:space="preserve"> </w:t>
      </w:r>
      <w:bookmarkStart w:id="7" w:name="_Int_zW9JA9hW"/>
      <w:r>
        <w:t>for</w:t>
      </w:r>
      <w:bookmarkEnd w:id="7"/>
      <w:r>
        <w:t xml:space="preserve"> more detail</w:t>
      </w:r>
      <w:r w:rsidR="0054226A">
        <w:t>s</w:t>
      </w:r>
      <w:r>
        <w:t>.</w:t>
      </w:r>
    </w:p>
    <w:p w14:paraId="448B7723" w14:textId="45D948C3" w:rsidR="002E6439" w:rsidRDefault="00985B3C" w:rsidP="003B3548">
      <w:pPr>
        <w:spacing w:after="120"/>
        <w:ind w:left="115"/>
        <w:rPr>
          <w:bCs/>
          <w:iCs/>
        </w:rPr>
      </w:pPr>
      <w:r w:rsidRPr="00985B3C">
        <w:rPr>
          <w:bCs/>
          <w:iCs/>
        </w:rPr>
        <w:t xml:space="preserve">Failure to comply with Indiana University information technology policies may result in sanctions relating to the individual's use of information technology resources (such as suspension or termination of access, or removal of </w:t>
      </w:r>
      <w:r w:rsidRPr="00985B3C">
        <w:rPr>
          <w:bCs/>
          <w:iCs/>
        </w:rPr>
        <w:lastRenderedPageBreak/>
        <w:t>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3B3548">
      <w:pPr>
        <w:pStyle w:val="Heading2"/>
        <w:spacing w:before="163" w:after="120"/>
        <w:ind w:left="115"/>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5C26BE">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5C26BE">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5C26BE">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5C26BE">
            <w:pPr>
              <w:pStyle w:val="Heading2"/>
              <w:rPr>
                <w:b w:val="0"/>
                <w:bCs w:val="0"/>
                <w:sz w:val="20"/>
                <w:szCs w:val="20"/>
              </w:rPr>
            </w:pPr>
            <w:hyperlink r:id="rId21" w:history="1">
              <w:r w:rsidR="00856684" w:rsidRPr="007B3796">
                <w:rPr>
                  <w:rStyle w:val="Hyperlink"/>
                  <w:b w:val="0"/>
                  <w:bCs w:val="0"/>
                  <w:sz w:val="20"/>
                  <w:szCs w:val="20"/>
                </w:rPr>
                <w:t>uiso@iu.edu</w:t>
              </w:r>
            </w:hyperlink>
            <w:r w:rsidR="00856684">
              <w:rPr>
                <w:b w:val="0"/>
                <w:bCs w:val="0"/>
                <w:sz w:val="20"/>
                <w:szCs w:val="20"/>
              </w:rPr>
              <w:t xml:space="preserve"> </w:t>
            </w:r>
          </w:p>
        </w:tc>
      </w:tr>
    </w:tbl>
    <w:p w14:paraId="01ECA556" w14:textId="77777777" w:rsidR="002B22D3" w:rsidRDefault="002B22D3" w:rsidP="003B3548">
      <w:pPr>
        <w:pStyle w:val="Heading2"/>
        <w:ind w:left="0"/>
      </w:pPr>
    </w:p>
    <w:p w14:paraId="223EF21A" w14:textId="09345449" w:rsidR="00CA2B94" w:rsidRPr="003B3548" w:rsidRDefault="00487F37" w:rsidP="003B3548">
      <w:pPr>
        <w:pStyle w:val="Heading2"/>
        <w:spacing w:after="120"/>
        <w:ind w:left="115"/>
      </w:pPr>
      <w:r>
        <w:t>History</w:t>
      </w:r>
    </w:p>
    <w:p w14:paraId="0EF1FD9A" w14:textId="62457B0C" w:rsidR="00222198" w:rsidRDefault="00222198" w:rsidP="00F37301">
      <w:pPr>
        <w:spacing w:after="120"/>
        <w:ind w:left="115"/>
        <w:jc w:val="both"/>
      </w:pPr>
      <w:r>
        <w:t xml:space="preserve">April 7, </w:t>
      </w:r>
      <w:bookmarkStart w:id="8" w:name="_Int_kg9mgzqI"/>
      <w:proofErr w:type="gramStart"/>
      <w:r>
        <w:t>2023</w:t>
      </w:r>
      <w:bookmarkEnd w:id="8"/>
      <w:proofErr w:type="gramEnd"/>
      <w:r>
        <w:t xml:space="preserve"> revised after stakeholder feedback</w:t>
      </w:r>
    </w:p>
    <w:p w14:paraId="7E5468C4" w14:textId="122DDB18" w:rsidR="00993358" w:rsidRDefault="00993358" w:rsidP="00F37301">
      <w:pPr>
        <w:spacing w:after="120"/>
        <w:ind w:left="115"/>
        <w:jc w:val="both"/>
      </w:pPr>
      <w:r>
        <w:t xml:space="preserve">October 11, </w:t>
      </w:r>
      <w:bookmarkStart w:id="9" w:name="_Int_d4g9v1vy"/>
      <w:proofErr w:type="gramStart"/>
      <w:r>
        <w:t>2022</w:t>
      </w:r>
      <w:bookmarkEnd w:id="9"/>
      <w:proofErr w:type="gramEnd"/>
      <w:r>
        <w:t xml:space="preserve"> updates</w:t>
      </w:r>
    </w:p>
    <w:p w14:paraId="4D80DB6F" w14:textId="726A97F4" w:rsidR="00732CBE" w:rsidRPr="00732CBE" w:rsidRDefault="6893C9EB" w:rsidP="00F37301">
      <w:pPr>
        <w:spacing w:after="120"/>
        <w:ind w:left="115"/>
        <w:jc w:val="both"/>
      </w:pPr>
      <w:r>
        <w:t xml:space="preserve">February 12, </w:t>
      </w:r>
      <w:bookmarkStart w:id="10" w:name="_Int_MxmXTSlZ"/>
      <w:proofErr w:type="gramStart"/>
      <w:r>
        <w:t>2022</w:t>
      </w:r>
      <w:bookmarkEnd w:id="10"/>
      <w:proofErr w:type="gramEnd"/>
      <w:r>
        <w:t xml:space="preserve"> draft for review</w:t>
      </w:r>
    </w:p>
    <w:p w14:paraId="56EC96DB" w14:textId="07541B89" w:rsidR="00BD4AE6" w:rsidRDefault="00BD4AE6" w:rsidP="00F37301">
      <w:pPr>
        <w:pStyle w:val="Heading2"/>
        <w:spacing w:after="120"/>
        <w:ind w:left="115"/>
      </w:pPr>
      <w:r>
        <w:t>Related Information</w:t>
      </w:r>
    </w:p>
    <w:p w14:paraId="55566846" w14:textId="5CF24CDF" w:rsidR="00C728E0" w:rsidRPr="00C728E0" w:rsidRDefault="00000000" w:rsidP="00C728E0">
      <w:pPr>
        <w:widowControl/>
        <w:numPr>
          <w:ilvl w:val="0"/>
          <w:numId w:val="18"/>
        </w:numPr>
        <w:autoSpaceDE/>
        <w:autoSpaceDN/>
        <w:spacing w:before="100" w:beforeAutospacing="1" w:after="100" w:afterAutospacing="1"/>
        <w:rPr>
          <w:rFonts w:eastAsia="Times New Roman"/>
        </w:rPr>
      </w:pPr>
      <w:hyperlink r:id="rId22" w:history="1">
        <w:r w:rsidR="001E14F4" w:rsidRPr="001E14F4">
          <w:rPr>
            <w:rStyle w:val="Hyperlink"/>
            <w:rFonts w:eastAsia="Times New Roman"/>
          </w:rPr>
          <w:t>Business Continuity Planning</w:t>
        </w:r>
      </w:hyperlink>
      <w:r w:rsidR="00C728E0" w:rsidRPr="00C728E0">
        <w:rPr>
          <w:rFonts w:eastAsia="Times New Roman"/>
        </w:rPr>
        <w:t xml:space="preserve"> </w:t>
      </w:r>
    </w:p>
    <w:p w14:paraId="2A258A6D" w14:textId="77777777" w:rsidR="00CA2B94" w:rsidRDefault="00CA2B94">
      <w:pPr>
        <w:pStyle w:val="BodyText"/>
        <w:spacing w:before="3"/>
        <w:rPr>
          <w:i/>
          <w:sz w:val="14"/>
        </w:rPr>
      </w:pPr>
    </w:p>
    <w:sectPr w:rsidR="00CA2B94" w:rsidSect="008B4995">
      <w:footerReference w:type="default" r:id="rId23"/>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EE35" w14:textId="77777777" w:rsidR="00954CFB" w:rsidRDefault="00954CFB">
      <w:r>
        <w:separator/>
      </w:r>
    </w:p>
  </w:endnote>
  <w:endnote w:type="continuationSeparator" w:id="0">
    <w:p w14:paraId="29CB736C" w14:textId="77777777" w:rsidR="00954CFB" w:rsidRDefault="0095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466C" w14:textId="77777777" w:rsidR="00954CFB" w:rsidRDefault="00954CFB">
      <w:r>
        <w:separator/>
      </w:r>
    </w:p>
  </w:footnote>
  <w:footnote w:type="continuationSeparator" w:id="0">
    <w:p w14:paraId="73D4D306" w14:textId="77777777" w:rsidR="00954CFB" w:rsidRDefault="00954CF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XtiaULry" int2:invalidationBookmarkName="" int2:hashCode="lfKufs7MoNoDmt" int2:id="GduNj27q">
      <int2:state int2:value="Rejected" int2:type="AugLoop_Text_Critique"/>
    </int2:bookmark>
    <int2:bookmark int2:bookmarkName="_Int_SJgfhKmM" int2:invalidationBookmarkName="" int2:hashCode="6BI+oKmLYOsceq" int2:id="oy4OVhxb">
      <int2:state int2:value="Rejected" int2:type="AugLoop_Text_Critique"/>
    </int2:bookmark>
    <int2:bookmark int2:bookmarkName="_Int_328PKwCY" int2:invalidationBookmarkName="" int2:hashCode="TDaS6Jip8kE89k" int2:id="mYRfj1RE">
      <int2:state int2:value="Rejected" int2:type="AugLoop_Acronyms_AcronymsCritique"/>
    </int2:bookmark>
    <int2:bookmark int2:bookmarkName="_Int_SvmbXCum" int2:invalidationBookmarkName="" int2:hashCode="VCIDGlI1MAKq5J" int2:id="gjB00Q5q">
      <int2:state int2:value="Rejected" int2:type="AugLoop_Acronyms_AcronymsCritique"/>
    </int2:bookmark>
    <int2:bookmark int2:bookmarkName="_Int_VjZOqU3U" int2:invalidationBookmarkName="" int2:hashCode="pOOwbgd7ApTSn8" int2:id="WULWxt9e">
      <int2:state int2:value="Rejected" int2:type="AugLoop_Acronyms_AcronymsCritique"/>
    </int2:bookmark>
    <int2:bookmark int2:bookmarkName="_Int_MxmXTSlZ" int2:invalidationBookmarkName="" int2:hashCode="5XXczHEUB1Tdhb" int2:id="7QVBOYaC">
      <int2:state int2:value="Rejected" int2:type="LegacyProofing"/>
    </int2:bookmark>
    <int2:bookmark int2:bookmarkName="_Int_d4g9v1vy" int2:invalidationBookmarkName="" int2:hashCode="5XXczHEUB1Tdhb" int2:id="xWXF69uV">
      <int2:state int2:value="Rejected" int2:type="LegacyProofing"/>
    </int2:bookmark>
    <int2:bookmark int2:bookmarkName="_Int_kg9mgzqI" int2:invalidationBookmarkName="" int2:hashCode="RFzS/TJzlivfCU" int2:id="OIbA0x24">
      <int2:state int2:value="Rejected" int2:type="LegacyProofing"/>
    </int2:bookmark>
    <int2:bookmark int2:bookmarkName="_Int_zW9JA9hW" int2:invalidationBookmarkName="" int2:hashCode="Q+75piq7ix4WVP" int2:id="FYGS5SR0">
      <int2:state int2:value="Rejected" int2:type="LegacyProofing"/>
    </int2:bookmark>
    <int2:bookmark int2:bookmarkName="_Int_psrkNARo" int2:invalidationBookmarkName="" int2:hashCode="J+kN+lfDWKz69H" int2:id="CR8ypGXk">
      <int2:state int2:value="Rejected" int2:type="LegacyProofing"/>
    </int2:bookmark>
    <int2:bookmark int2:bookmarkName="_Int_TKWdEpR3" int2:invalidationBookmarkName="" int2:hashCode="j7/PLnwDd31nJ+" int2:id="GvZ0MKd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79A"/>
    <w:multiLevelType w:val="hybridMultilevel"/>
    <w:tmpl w:val="AECC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14"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17"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6CD48"/>
    <w:multiLevelType w:val="hybridMultilevel"/>
    <w:tmpl w:val="711A5B0A"/>
    <w:lvl w:ilvl="0" w:tplc="29389236">
      <w:start w:val="1"/>
      <w:numFmt w:val="bullet"/>
      <w:lvlText w:val=""/>
      <w:lvlJc w:val="left"/>
      <w:pPr>
        <w:ind w:left="720" w:hanging="360"/>
      </w:pPr>
      <w:rPr>
        <w:rFonts w:ascii="Symbol" w:hAnsi="Symbol" w:hint="default"/>
      </w:rPr>
    </w:lvl>
    <w:lvl w:ilvl="1" w:tplc="A956B2F8">
      <w:start w:val="1"/>
      <w:numFmt w:val="bullet"/>
      <w:lvlText w:val="o"/>
      <w:lvlJc w:val="left"/>
      <w:pPr>
        <w:ind w:left="1440" w:hanging="360"/>
      </w:pPr>
      <w:rPr>
        <w:rFonts w:ascii="Courier New" w:hAnsi="Courier New" w:hint="default"/>
      </w:rPr>
    </w:lvl>
    <w:lvl w:ilvl="2" w:tplc="704C70F4">
      <w:start w:val="1"/>
      <w:numFmt w:val="bullet"/>
      <w:lvlText w:val=""/>
      <w:lvlJc w:val="left"/>
      <w:pPr>
        <w:ind w:left="2160" w:hanging="360"/>
      </w:pPr>
      <w:rPr>
        <w:rFonts w:ascii="Wingdings" w:hAnsi="Wingdings" w:hint="default"/>
      </w:rPr>
    </w:lvl>
    <w:lvl w:ilvl="3" w:tplc="B5D2AA68">
      <w:start w:val="1"/>
      <w:numFmt w:val="bullet"/>
      <w:lvlText w:val=""/>
      <w:lvlJc w:val="left"/>
      <w:pPr>
        <w:ind w:left="2880" w:hanging="360"/>
      </w:pPr>
      <w:rPr>
        <w:rFonts w:ascii="Symbol" w:hAnsi="Symbol" w:hint="default"/>
      </w:rPr>
    </w:lvl>
    <w:lvl w:ilvl="4" w:tplc="FEF49E8C">
      <w:start w:val="1"/>
      <w:numFmt w:val="bullet"/>
      <w:lvlText w:val="o"/>
      <w:lvlJc w:val="left"/>
      <w:pPr>
        <w:ind w:left="3600" w:hanging="360"/>
      </w:pPr>
      <w:rPr>
        <w:rFonts w:ascii="Courier New" w:hAnsi="Courier New" w:hint="default"/>
      </w:rPr>
    </w:lvl>
    <w:lvl w:ilvl="5" w:tplc="C71C023E">
      <w:start w:val="1"/>
      <w:numFmt w:val="bullet"/>
      <w:lvlText w:val=""/>
      <w:lvlJc w:val="left"/>
      <w:pPr>
        <w:ind w:left="4320" w:hanging="360"/>
      </w:pPr>
      <w:rPr>
        <w:rFonts w:ascii="Wingdings" w:hAnsi="Wingdings" w:hint="default"/>
      </w:rPr>
    </w:lvl>
    <w:lvl w:ilvl="6" w:tplc="7640E7A2">
      <w:start w:val="1"/>
      <w:numFmt w:val="bullet"/>
      <w:lvlText w:val=""/>
      <w:lvlJc w:val="left"/>
      <w:pPr>
        <w:ind w:left="5040" w:hanging="360"/>
      </w:pPr>
      <w:rPr>
        <w:rFonts w:ascii="Symbol" w:hAnsi="Symbol" w:hint="default"/>
      </w:rPr>
    </w:lvl>
    <w:lvl w:ilvl="7" w:tplc="D7FEACBC">
      <w:start w:val="1"/>
      <w:numFmt w:val="bullet"/>
      <w:lvlText w:val="o"/>
      <w:lvlJc w:val="left"/>
      <w:pPr>
        <w:ind w:left="5760" w:hanging="360"/>
      </w:pPr>
      <w:rPr>
        <w:rFonts w:ascii="Courier New" w:hAnsi="Courier New" w:hint="default"/>
      </w:rPr>
    </w:lvl>
    <w:lvl w:ilvl="8" w:tplc="2E84CFAC">
      <w:start w:val="1"/>
      <w:numFmt w:val="bullet"/>
      <w:lvlText w:val=""/>
      <w:lvlJc w:val="left"/>
      <w:pPr>
        <w:ind w:left="6480" w:hanging="360"/>
      </w:pPr>
      <w:rPr>
        <w:rFonts w:ascii="Wingdings" w:hAnsi="Wingdings" w:hint="default"/>
      </w:rPr>
    </w:lvl>
  </w:abstractNum>
  <w:abstractNum w:abstractNumId="19"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0064831">
    <w:abstractNumId w:val="18"/>
  </w:num>
  <w:num w:numId="2" w16cid:durableId="1906406927">
    <w:abstractNumId w:val="3"/>
  </w:num>
  <w:num w:numId="3" w16cid:durableId="502862152">
    <w:abstractNumId w:val="23"/>
  </w:num>
  <w:num w:numId="4" w16cid:durableId="1108966061">
    <w:abstractNumId w:val="13"/>
  </w:num>
  <w:num w:numId="5" w16cid:durableId="1201672347">
    <w:abstractNumId w:val="16"/>
  </w:num>
  <w:num w:numId="6" w16cid:durableId="1578324129">
    <w:abstractNumId w:val="12"/>
  </w:num>
  <w:num w:numId="7" w16cid:durableId="397628175">
    <w:abstractNumId w:val="1"/>
  </w:num>
  <w:num w:numId="8" w16cid:durableId="2066637618">
    <w:abstractNumId w:val="7"/>
  </w:num>
  <w:num w:numId="9" w16cid:durableId="1655910711">
    <w:abstractNumId w:val="17"/>
  </w:num>
  <w:num w:numId="10" w16cid:durableId="1032463601">
    <w:abstractNumId w:val="24"/>
  </w:num>
  <w:num w:numId="11" w16cid:durableId="865993665">
    <w:abstractNumId w:val="21"/>
  </w:num>
  <w:num w:numId="12" w16cid:durableId="636298812">
    <w:abstractNumId w:val="5"/>
  </w:num>
  <w:num w:numId="13" w16cid:durableId="1655986277">
    <w:abstractNumId w:val="20"/>
  </w:num>
  <w:num w:numId="14" w16cid:durableId="259413961">
    <w:abstractNumId w:val="25"/>
  </w:num>
  <w:num w:numId="15" w16cid:durableId="1328557396">
    <w:abstractNumId w:val="4"/>
  </w:num>
  <w:num w:numId="16" w16cid:durableId="1074359478">
    <w:abstractNumId w:val="8"/>
  </w:num>
  <w:num w:numId="17" w16cid:durableId="979073118">
    <w:abstractNumId w:val="2"/>
  </w:num>
  <w:num w:numId="18" w16cid:durableId="690913261">
    <w:abstractNumId w:val="15"/>
  </w:num>
  <w:num w:numId="19" w16cid:durableId="258948123">
    <w:abstractNumId w:val="22"/>
  </w:num>
  <w:num w:numId="20" w16cid:durableId="913511371">
    <w:abstractNumId w:val="19"/>
  </w:num>
  <w:num w:numId="21" w16cid:durableId="753935566">
    <w:abstractNumId w:val="6"/>
  </w:num>
  <w:num w:numId="22" w16cid:durableId="49573765">
    <w:abstractNumId w:val="14"/>
  </w:num>
  <w:num w:numId="23" w16cid:durableId="262885843">
    <w:abstractNumId w:val="10"/>
  </w:num>
  <w:num w:numId="24" w16cid:durableId="683213659">
    <w:abstractNumId w:val="11"/>
  </w:num>
  <w:num w:numId="25" w16cid:durableId="1808401861">
    <w:abstractNumId w:val="9"/>
  </w:num>
  <w:num w:numId="26" w16cid:durableId="169248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79"/>
    <w:rsid w:val="0000644F"/>
    <w:rsid w:val="0001340B"/>
    <w:rsid w:val="00030045"/>
    <w:rsid w:val="00060459"/>
    <w:rsid w:val="00060DAF"/>
    <w:rsid w:val="00067D91"/>
    <w:rsid w:val="000A052E"/>
    <w:rsid w:val="000B34C8"/>
    <w:rsid w:val="000B607A"/>
    <w:rsid w:val="0011157F"/>
    <w:rsid w:val="0012172C"/>
    <w:rsid w:val="00124BE8"/>
    <w:rsid w:val="00164778"/>
    <w:rsid w:val="001857D3"/>
    <w:rsid w:val="00197D64"/>
    <w:rsid w:val="001A7203"/>
    <w:rsid w:val="001B47E2"/>
    <w:rsid w:val="001D7EC2"/>
    <w:rsid w:val="001E14F4"/>
    <w:rsid w:val="001F4405"/>
    <w:rsid w:val="001F5320"/>
    <w:rsid w:val="001F61BF"/>
    <w:rsid w:val="001F755F"/>
    <w:rsid w:val="0021180B"/>
    <w:rsid w:val="00212911"/>
    <w:rsid w:val="00222198"/>
    <w:rsid w:val="00242B65"/>
    <w:rsid w:val="0024571E"/>
    <w:rsid w:val="00245F73"/>
    <w:rsid w:val="002B22D3"/>
    <w:rsid w:val="002C14A3"/>
    <w:rsid w:val="002D0A9C"/>
    <w:rsid w:val="002D3DD7"/>
    <w:rsid w:val="002D6C1A"/>
    <w:rsid w:val="002E59E0"/>
    <w:rsid w:val="002E6439"/>
    <w:rsid w:val="0030097C"/>
    <w:rsid w:val="00302640"/>
    <w:rsid w:val="00317EFF"/>
    <w:rsid w:val="00332243"/>
    <w:rsid w:val="00335E61"/>
    <w:rsid w:val="00367EB3"/>
    <w:rsid w:val="003737B7"/>
    <w:rsid w:val="00384AE3"/>
    <w:rsid w:val="00393386"/>
    <w:rsid w:val="0039446B"/>
    <w:rsid w:val="003B1D5D"/>
    <w:rsid w:val="003B3548"/>
    <w:rsid w:val="003B4428"/>
    <w:rsid w:val="003B4F4F"/>
    <w:rsid w:val="003C0D1A"/>
    <w:rsid w:val="003E2CA3"/>
    <w:rsid w:val="0040236D"/>
    <w:rsid w:val="004102AF"/>
    <w:rsid w:val="00415BEF"/>
    <w:rsid w:val="00417241"/>
    <w:rsid w:val="0042311E"/>
    <w:rsid w:val="00426169"/>
    <w:rsid w:val="004522B7"/>
    <w:rsid w:val="004550B3"/>
    <w:rsid w:val="00461123"/>
    <w:rsid w:val="004644B1"/>
    <w:rsid w:val="004714EE"/>
    <w:rsid w:val="00486FC2"/>
    <w:rsid w:val="00487F37"/>
    <w:rsid w:val="004A434F"/>
    <w:rsid w:val="004B79FA"/>
    <w:rsid w:val="004C0F19"/>
    <w:rsid w:val="004D0E22"/>
    <w:rsid w:val="004D2BD2"/>
    <w:rsid w:val="004D6329"/>
    <w:rsid w:val="004E0508"/>
    <w:rsid w:val="005031EF"/>
    <w:rsid w:val="005074C0"/>
    <w:rsid w:val="0050D8B0"/>
    <w:rsid w:val="00520EF5"/>
    <w:rsid w:val="00522BB1"/>
    <w:rsid w:val="00522FC2"/>
    <w:rsid w:val="005302A8"/>
    <w:rsid w:val="00541340"/>
    <w:rsid w:val="0054226A"/>
    <w:rsid w:val="00553A2D"/>
    <w:rsid w:val="0056226C"/>
    <w:rsid w:val="0057545C"/>
    <w:rsid w:val="005A14F8"/>
    <w:rsid w:val="005A4959"/>
    <w:rsid w:val="005A6348"/>
    <w:rsid w:val="005C1FB5"/>
    <w:rsid w:val="005C615A"/>
    <w:rsid w:val="005D0AD8"/>
    <w:rsid w:val="005D0EDE"/>
    <w:rsid w:val="005E0F63"/>
    <w:rsid w:val="006033FD"/>
    <w:rsid w:val="00634CDA"/>
    <w:rsid w:val="00636B73"/>
    <w:rsid w:val="00644043"/>
    <w:rsid w:val="006616CF"/>
    <w:rsid w:val="00677D50"/>
    <w:rsid w:val="006A35A5"/>
    <w:rsid w:val="006A375E"/>
    <w:rsid w:val="006A4CDE"/>
    <w:rsid w:val="006B0C1C"/>
    <w:rsid w:val="006B23C8"/>
    <w:rsid w:val="006C2292"/>
    <w:rsid w:val="006C2A9B"/>
    <w:rsid w:val="006F536E"/>
    <w:rsid w:val="00723593"/>
    <w:rsid w:val="007239FC"/>
    <w:rsid w:val="007272B4"/>
    <w:rsid w:val="00732CBE"/>
    <w:rsid w:val="00760AB0"/>
    <w:rsid w:val="00770E7C"/>
    <w:rsid w:val="00780281"/>
    <w:rsid w:val="00784391"/>
    <w:rsid w:val="00794B7F"/>
    <w:rsid w:val="007B5172"/>
    <w:rsid w:val="007E3E46"/>
    <w:rsid w:val="007E5165"/>
    <w:rsid w:val="007F34FC"/>
    <w:rsid w:val="008040BE"/>
    <w:rsid w:val="00820A58"/>
    <w:rsid w:val="0082630C"/>
    <w:rsid w:val="00856684"/>
    <w:rsid w:val="0085747D"/>
    <w:rsid w:val="00857D57"/>
    <w:rsid w:val="00866256"/>
    <w:rsid w:val="00880025"/>
    <w:rsid w:val="008941A2"/>
    <w:rsid w:val="00896392"/>
    <w:rsid w:val="008A0B85"/>
    <w:rsid w:val="008A7488"/>
    <w:rsid w:val="008B4995"/>
    <w:rsid w:val="008C33AB"/>
    <w:rsid w:val="008D52A4"/>
    <w:rsid w:val="008D67EA"/>
    <w:rsid w:val="008F3B83"/>
    <w:rsid w:val="008F6D93"/>
    <w:rsid w:val="00903979"/>
    <w:rsid w:val="009111A9"/>
    <w:rsid w:val="00917521"/>
    <w:rsid w:val="00931FC7"/>
    <w:rsid w:val="00941113"/>
    <w:rsid w:val="00946567"/>
    <w:rsid w:val="00954CFB"/>
    <w:rsid w:val="009620D6"/>
    <w:rsid w:val="0098560D"/>
    <w:rsid w:val="00985B3C"/>
    <w:rsid w:val="00993358"/>
    <w:rsid w:val="009954D8"/>
    <w:rsid w:val="009A30CE"/>
    <w:rsid w:val="009B0639"/>
    <w:rsid w:val="009B15FF"/>
    <w:rsid w:val="009D1D7D"/>
    <w:rsid w:val="009D445C"/>
    <w:rsid w:val="009D73AD"/>
    <w:rsid w:val="009D7C2E"/>
    <w:rsid w:val="009F293E"/>
    <w:rsid w:val="009F3EEE"/>
    <w:rsid w:val="00A01B68"/>
    <w:rsid w:val="00A0274D"/>
    <w:rsid w:val="00A1319C"/>
    <w:rsid w:val="00A208C6"/>
    <w:rsid w:val="00A2351F"/>
    <w:rsid w:val="00A2598C"/>
    <w:rsid w:val="00A30D64"/>
    <w:rsid w:val="00A335C4"/>
    <w:rsid w:val="00A37D61"/>
    <w:rsid w:val="00A40F9C"/>
    <w:rsid w:val="00A4584B"/>
    <w:rsid w:val="00A5664A"/>
    <w:rsid w:val="00A84437"/>
    <w:rsid w:val="00AB1391"/>
    <w:rsid w:val="00AD41D8"/>
    <w:rsid w:val="00AD7845"/>
    <w:rsid w:val="00AE4701"/>
    <w:rsid w:val="00AF284C"/>
    <w:rsid w:val="00AF61C6"/>
    <w:rsid w:val="00B02370"/>
    <w:rsid w:val="00B04BEE"/>
    <w:rsid w:val="00B065CA"/>
    <w:rsid w:val="00B0710F"/>
    <w:rsid w:val="00B14312"/>
    <w:rsid w:val="00B31F2A"/>
    <w:rsid w:val="00B40AB3"/>
    <w:rsid w:val="00B43A2C"/>
    <w:rsid w:val="00B56BD3"/>
    <w:rsid w:val="00B632BC"/>
    <w:rsid w:val="00B6336D"/>
    <w:rsid w:val="00B63FD7"/>
    <w:rsid w:val="00B86D27"/>
    <w:rsid w:val="00BA6D54"/>
    <w:rsid w:val="00BB0101"/>
    <w:rsid w:val="00BC6F60"/>
    <w:rsid w:val="00BD4AE6"/>
    <w:rsid w:val="00BD7C5F"/>
    <w:rsid w:val="00BE54EF"/>
    <w:rsid w:val="00C056EB"/>
    <w:rsid w:val="00C342BE"/>
    <w:rsid w:val="00C53F1B"/>
    <w:rsid w:val="00C728E0"/>
    <w:rsid w:val="00C8686F"/>
    <w:rsid w:val="00CA2B94"/>
    <w:rsid w:val="00CA3B7B"/>
    <w:rsid w:val="00CA3E1A"/>
    <w:rsid w:val="00CB088E"/>
    <w:rsid w:val="00CB7534"/>
    <w:rsid w:val="00CB79C4"/>
    <w:rsid w:val="00CD5E4D"/>
    <w:rsid w:val="00CE1534"/>
    <w:rsid w:val="00CF6968"/>
    <w:rsid w:val="00D22647"/>
    <w:rsid w:val="00D3047E"/>
    <w:rsid w:val="00D56485"/>
    <w:rsid w:val="00D57B23"/>
    <w:rsid w:val="00D70516"/>
    <w:rsid w:val="00D834A7"/>
    <w:rsid w:val="00D92BAF"/>
    <w:rsid w:val="00DA085F"/>
    <w:rsid w:val="00DA7D1B"/>
    <w:rsid w:val="00DC0301"/>
    <w:rsid w:val="00DC46AA"/>
    <w:rsid w:val="00DC7F78"/>
    <w:rsid w:val="00DD4873"/>
    <w:rsid w:val="00DF7D7D"/>
    <w:rsid w:val="00E0034F"/>
    <w:rsid w:val="00E0712F"/>
    <w:rsid w:val="00E122E7"/>
    <w:rsid w:val="00E13035"/>
    <w:rsid w:val="00E149BB"/>
    <w:rsid w:val="00E2491D"/>
    <w:rsid w:val="00E40B34"/>
    <w:rsid w:val="00E50B2E"/>
    <w:rsid w:val="00E560AF"/>
    <w:rsid w:val="00E62D4A"/>
    <w:rsid w:val="00E65CE0"/>
    <w:rsid w:val="00E71CB4"/>
    <w:rsid w:val="00E7409D"/>
    <w:rsid w:val="00E87310"/>
    <w:rsid w:val="00E87380"/>
    <w:rsid w:val="00E92B50"/>
    <w:rsid w:val="00EA2EB1"/>
    <w:rsid w:val="00EB2892"/>
    <w:rsid w:val="00EB3F1E"/>
    <w:rsid w:val="00EC1720"/>
    <w:rsid w:val="00EC2F74"/>
    <w:rsid w:val="00ED0C65"/>
    <w:rsid w:val="00ED22EF"/>
    <w:rsid w:val="00EE298D"/>
    <w:rsid w:val="00EE5E34"/>
    <w:rsid w:val="00EF2A00"/>
    <w:rsid w:val="00F02E60"/>
    <w:rsid w:val="00F03EBA"/>
    <w:rsid w:val="00F31002"/>
    <w:rsid w:val="00F32507"/>
    <w:rsid w:val="00F3296F"/>
    <w:rsid w:val="00F34BF6"/>
    <w:rsid w:val="00F37301"/>
    <w:rsid w:val="00F534B5"/>
    <w:rsid w:val="00F60524"/>
    <w:rsid w:val="00F819B5"/>
    <w:rsid w:val="00F9087E"/>
    <w:rsid w:val="00F910DF"/>
    <w:rsid w:val="00F969B2"/>
    <w:rsid w:val="00FA5997"/>
    <w:rsid w:val="00FE2649"/>
    <w:rsid w:val="00FF37C8"/>
    <w:rsid w:val="00FF476B"/>
    <w:rsid w:val="00FF60E9"/>
    <w:rsid w:val="04387466"/>
    <w:rsid w:val="065271F6"/>
    <w:rsid w:val="072415F1"/>
    <w:rsid w:val="08EE93E7"/>
    <w:rsid w:val="0A46B5BE"/>
    <w:rsid w:val="0A48D1F0"/>
    <w:rsid w:val="0B57D3E1"/>
    <w:rsid w:val="0B6289CF"/>
    <w:rsid w:val="0BB0AEC8"/>
    <w:rsid w:val="0C2007D1"/>
    <w:rsid w:val="10611149"/>
    <w:rsid w:val="112B34A1"/>
    <w:rsid w:val="146F34A7"/>
    <w:rsid w:val="16CB88EF"/>
    <w:rsid w:val="170B2906"/>
    <w:rsid w:val="1B42D14D"/>
    <w:rsid w:val="1C360E22"/>
    <w:rsid w:val="1CEE890E"/>
    <w:rsid w:val="23ECF61A"/>
    <w:rsid w:val="265595A8"/>
    <w:rsid w:val="2787043F"/>
    <w:rsid w:val="281F0190"/>
    <w:rsid w:val="2BA2DB08"/>
    <w:rsid w:val="2DDB56C0"/>
    <w:rsid w:val="2E18B93B"/>
    <w:rsid w:val="2FC881D8"/>
    <w:rsid w:val="30F2AF80"/>
    <w:rsid w:val="3213D3B0"/>
    <w:rsid w:val="327B2DEF"/>
    <w:rsid w:val="3437393D"/>
    <w:rsid w:val="363B1EF3"/>
    <w:rsid w:val="3A696C70"/>
    <w:rsid w:val="3C1E0F20"/>
    <w:rsid w:val="3C9F5674"/>
    <w:rsid w:val="3D22ACCD"/>
    <w:rsid w:val="3D2E1226"/>
    <w:rsid w:val="3D3DD777"/>
    <w:rsid w:val="3E7BFCD8"/>
    <w:rsid w:val="3EF0C9B5"/>
    <w:rsid w:val="40757839"/>
    <w:rsid w:val="408A4337"/>
    <w:rsid w:val="408C9A16"/>
    <w:rsid w:val="416C131C"/>
    <w:rsid w:val="427FE660"/>
    <w:rsid w:val="4300799E"/>
    <w:rsid w:val="441C9893"/>
    <w:rsid w:val="469E3DEC"/>
    <w:rsid w:val="48D5CC0E"/>
    <w:rsid w:val="49400B65"/>
    <w:rsid w:val="4A57E3D9"/>
    <w:rsid w:val="4BAE88D6"/>
    <w:rsid w:val="4F523153"/>
    <w:rsid w:val="53236418"/>
    <w:rsid w:val="533C45D7"/>
    <w:rsid w:val="53CB2A4B"/>
    <w:rsid w:val="5BA1E929"/>
    <w:rsid w:val="5D1D50F6"/>
    <w:rsid w:val="5DE88B54"/>
    <w:rsid w:val="615CEBD5"/>
    <w:rsid w:val="627CCCDA"/>
    <w:rsid w:val="64BC9B72"/>
    <w:rsid w:val="65B93809"/>
    <w:rsid w:val="66154703"/>
    <w:rsid w:val="6840F718"/>
    <w:rsid w:val="6893C9EB"/>
    <w:rsid w:val="69964200"/>
    <w:rsid w:val="6BE35FCE"/>
    <w:rsid w:val="70AE9646"/>
    <w:rsid w:val="730B1964"/>
    <w:rsid w:val="740E902E"/>
    <w:rsid w:val="778595A8"/>
    <w:rsid w:val="788C779A"/>
    <w:rsid w:val="78F5A8F8"/>
    <w:rsid w:val="79011164"/>
    <w:rsid w:val="7C7C2F7C"/>
    <w:rsid w:val="7D6F16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styleId="FollowedHyperlink">
    <w:name w:val="FollowedHyperlink"/>
    <w:basedOn w:val="DefaultParagraphFont"/>
    <w:uiPriority w:val="99"/>
    <w:semiHidden/>
    <w:unhideWhenUsed/>
    <w:rsid w:val="009620D6"/>
    <w:rPr>
      <w:color w:val="800080" w:themeColor="followedHyperlink"/>
      <w:u w:val="single"/>
    </w:rPr>
  </w:style>
  <w:style w:type="paragraph" w:styleId="Revision">
    <w:name w:val="Revision"/>
    <w:hidden/>
    <w:uiPriority w:val="99"/>
    <w:semiHidden/>
    <w:rsid w:val="004B79FA"/>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4B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hyperlink" Target="https://informationsecurity.iu.edu/resources-professionals/backing-up-data.html"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uiso@iu.edu" TargetMode="Externa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protect.iu.edu/emergency-continuity/continuity-pla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formationsecurity.iu.edu/program/safeguards/managing-business-continuity.html" TargetMode="External"/><Relationship Id="rId20" Type="http://schemas.openxmlformats.org/officeDocument/2006/relationships/hyperlink" Target="http://policies.iu.edu/policies/categories/information-it/it/IT-02.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formationsecurity.iu.edu/resources-professionals/disaster-recovery-plann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https://protect.iu.edu/emergency-planning/continuity-plan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5176C-530E-4B3A-8689-DDA78FC8EBD5}">
  <ds:schemaRefs>
    <ds:schemaRef ds:uri="http://schemas.openxmlformats.org/officeDocument/2006/bibliography"/>
  </ds:schemaRefs>
</ds:datastoreItem>
</file>

<file path=customXml/itemProps2.xml><?xml version="1.0" encoding="utf-8"?>
<ds:datastoreItem xmlns:ds="http://schemas.openxmlformats.org/officeDocument/2006/customXml" ds:itemID="{24A95DA7-A7EC-43B1-BB80-FB6259CC5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9BC1E-F158-420D-9FF8-1409C7EA0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DED79-55BA-4426-B90A-0AB25CF0D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4810</Characters>
  <Application>Microsoft Office Word</Application>
  <DocSecurity>0</DocSecurity>
  <Lines>40</Lines>
  <Paragraphs>11</Paragraphs>
  <ScaleCrop>false</ScaleCrop>
  <Company>Indiana University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26</cp:revision>
  <dcterms:created xsi:type="dcterms:W3CDTF">2023-04-10T16:54:00Z</dcterms:created>
  <dcterms:modified xsi:type="dcterms:W3CDTF">2023-04-10T20:17:00Z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2023-04-10T16:53:31Z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6b1be3ee-7542-4d67-a548-32c71fb21360</vt:lpwstr>
  </property>
  <property fmtid="{D5CDD505-2E9C-101B-9397-08002B2CF9AE}" pid="12" name="MSIP_Label_414b3c7e-3bfa-45f1-b28d-09d7fca8a9b7_ContentBits">
    <vt:lpwstr>0</vt:lpwstr>
  </property>
</Properties>
</file>